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348497" w14:textId="72AE5227" w:rsidR="00EA0590" w:rsidRPr="006B77E8" w:rsidRDefault="00113816" w:rsidP="00EA0590">
      <w:pPr>
        <w:tabs>
          <w:tab w:val="left" w:pos="7740"/>
        </w:tabs>
        <w:autoSpaceDE w:val="0"/>
        <w:autoSpaceDN w:val="0"/>
        <w:adjustRightInd w:val="0"/>
        <w:ind w:right="-830" w:hanging="900"/>
        <w:rPr>
          <w:rFonts w:eastAsia="TimesNewRomanPS-BoldMT"/>
          <w:b/>
          <w:bCs/>
          <w:sz w:val="20"/>
          <w:szCs w:val="20"/>
          <w:lang w:val="sr-Cyrl-RS"/>
        </w:rPr>
      </w:pPr>
      <w:bookmarkStart w:id="0" w:name="_GoBack"/>
      <w:bookmarkEnd w:id="0"/>
      <w:r w:rsidRPr="006B77E8">
        <w:rPr>
          <w:rFonts w:eastAsia="TimesNewRomanPS-BoldMT"/>
          <w:b/>
          <w:bCs/>
          <w:sz w:val="20"/>
          <w:szCs w:val="20"/>
          <w:lang w:val="sr-Cyrl-RS"/>
        </w:rPr>
        <w:tab/>
      </w:r>
      <w:r w:rsidR="00EA0590" w:rsidRPr="006B77E8">
        <w:rPr>
          <w:rFonts w:eastAsia="TimesNewRomanPS-BoldMT"/>
          <w:b/>
          <w:bCs/>
          <w:sz w:val="20"/>
          <w:szCs w:val="20"/>
          <w:lang w:val="sr-Cyrl-RS"/>
        </w:rPr>
        <w:t>УНИВЕРЗИТЕТ У НИШУ</w:t>
      </w:r>
      <w:r w:rsidR="00EA0590" w:rsidRPr="006B77E8">
        <w:rPr>
          <w:rFonts w:eastAsia="TimesNewRomanPS-BoldMT"/>
          <w:b/>
          <w:bCs/>
          <w:sz w:val="20"/>
          <w:szCs w:val="20"/>
          <w:lang w:val="sr-Cyrl-RS"/>
        </w:rPr>
        <w:tab/>
      </w:r>
      <w:r w:rsidR="00EA0590" w:rsidRPr="006B77E8">
        <w:rPr>
          <w:rFonts w:eastAsia="TimesNewRomanPS-BoldMT"/>
          <w:b/>
          <w:bCs/>
          <w:sz w:val="20"/>
          <w:szCs w:val="20"/>
          <w:lang w:val="sr-Cyrl-RS"/>
        </w:rPr>
        <w:tab/>
      </w:r>
      <w:r w:rsidR="00EA0590" w:rsidRPr="006B77E8">
        <w:rPr>
          <w:rFonts w:eastAsia="TimesNewRomanPS-BoldMT"/>
          <w:b/>
          <w:bCs/>
          <w:sz w:val="20"/>
          <w:szCs w:val="20"/>
          <w:lang w:val="sr-Cyrl-RS"/>
        </w:rPr>
        <w:tab/>
      </w:r>
      <w:r w:rsidR="00EA0590" w:rsidRPr="006B77E8">
        <w:rPr>
          <w:rFonts w:eastAsia="TimesNewRomanPS-BoldMT"/>
          <w:b/>
          <w:bCs/>
          <w:color w:val="999999"/>
          <w:sz w:val="20"/>
          <w:szCs w:val="20"/>
          <w:lang w:val="sr-Cyrl-RS"/>
        </w:rPr>
        <w:t>Образац Д2</w:t>
      </w:r>
    </w:p>
    <w:p w14:paraId="0BCF79B6" w14:textId="2492A598" w:rsidR="00EA0590" w:rsidRPr="006B77E8" w:rsidRDefault="00113816" w:rsidP="00EA0590">
      <w:pPr>
        <w:tabs>
          <w:tab w:val="left" w:pos="6660"/>
        </w:tabs>
        <w:autoSpaceDE w:val="0"/>
        <w:autoSpaceDN w:val="0"/>
        <w:adjustRightInd w:val="0"/>
        <w:ind w:hanging="900"/>
        <w:rPr>
          <w:rFonts w:eastAsia="TimesNewRomanPS-BoldMT"/>
          <w:b/>
          <w:bCs/>
          <w:color w:val="999999"/>
          <w:sz w:val="20"/>
          <w:szCs w:val="20"/>
          <w:lang w:val="sr-Cyrl-RS"/>
        </w:rPr>
      </w:pPr>
      <w:r w:rsidRPr="006B77E8">
        <w:rPr>
          <w:rFonts w:eastAsia="TimesNewRomanPS-BoldMT"/>
          <w:b/>
          <w:bCs/>
          <w:color w:val="999999"/>
          <w:sz w:val="20"/>
          <w:szCs w:val="20"/>
          <w:lang w:val="sr-Cyrl-RS"/>
        </w:rPr>
        <w:tab/>
      </w:r>
      <w:r w:rsidRPr="00205631">
        <w:rPr>
          <w:rFonts w:eastAsia="TimesNewRomanPS-BoldMT"/>
          <w:b/>
          <w:bCs/>
          <w:color w:val="000000" w:themeColor="text1"/>
          <w:sz w:val="20"/>
          <w:szCs w:val="20"/>
          <w:lang w:val="sr-Cyrl-RS"/>
        </w:rPr>
        <w:t>ФИЛОЗОФСКИ ФАКУЛТЕТ</w:t>
      </w:r>
    </w:p>
    <w:p w14:paraId="317D0154" w14:textId="77777777" w:rsidR="00EA0590" w:rsidRPr="006B77E8" w:rsidRDefault="00EA0590" w:rsidP="00EA0590">
      <w:pPr>
        <w:rPr>
          <w:sz w:val="6"/>
          <w:szCs w:val="6"/>
          <w:lang w:val="sr-Cyrl-RS"/>
        </w:rPr>
      </w:pPr>
    </w:p>
    <w:tbl>
      <w:tblPr>
        <w:tblW w:w="1078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547"/>
        <w:gridCol w:w="1789"/>
        <w:gridCol w:w="10"/>
        <w:gridCol w:w="3239"/>
        <w:gridCol w:w="720"/>
        <w:gridCol w:w="900"/>
        <w:gridCol w:w="2520"/>
        <w:gridCol w:w="540"/>
        <w:gridCol w:w="521"/>
      </w:tblGrid>
      <w:tr w:rsidR="00EA0590" w:rsidRPr="006B77E8" w14:paraId="2364930B" w14:textId="77777777" w:rsidTr="00D22A91">
        <w:trPr>
          <w:trHeight w:val="340"/>
          <w:jc w:val="center"/>
        </w:trPr>
        <w:tc>
          <w:tcPr>
            <w:tcW w:w="10786" w:type="dxa"/>
            <w:gridSpan w:val="9"/>
            <w:tcBorders>
              <w:top w:val="single" w:sz="18" w:space="0" w:color="808080"/>
              <w:left w:val="single" w:sz="18" w:space="0" w:color="808080"/>
              <w:bottom w:val="single" w:sz="18" w:space="0" w:color="808080"/>
              <w:right w:val="single" w:sz="18" w:space="0" w:color="808080"/>
            </w:tcBorders>
            <w:shd w:val="clear" w:color="auto" w:fill="D9D9D9"/>
            <w:vAlign w:val="center"/>
          </w:tcPr>
          <w:p w14:paraId="23A8AE90" w14:textId="77777777" w:rsidR="00EA0590" w:rsidRPr="006B77E8" w:rsidRDefault="00EA0590" w:rsidP="00D22A91">
            <w:pPr>
              <w:jc w:val="center"/>
              <w:rPr>
                <w:rFonts w:eastAsia="TimesNewRomanPS-BoldMT"/>
                <w:b/>
                <w:bCs/>
                <w:lang w:val="sr-Cyrl-RS"/>
              </w:rPr>
            </w:pPr>
          </w:p>
          <w:p w14:paraId="193D82E3" w14:textId="77777777" w:rsidR="00EA0590" w:rsidRPr="006B77E8" w:rsidRDefault="00EA0590" w:rsidP="00D22A91">
            <w:pPr>
              <w:jc w:val="center"/>
              <w:rPr>
                <w:rFonts w:eastAsia="TimesNewRomanPS-BoldMT"/>
                <w:sz w:val="26"/>
                <w:szCs w:val="26"/>
                <w:lang w:val="sr-Cyrl-RS"/>
              </w:rPr>
            </w:pPr>
            <w:r w:rsidRPr="006B77E8">
              <w:rPr>
                <w:rFonts w:eastAsia="TimesNewRomanPS-BoldMT"/>
                <w:b/>
                <w:bCs/>
                <w:sz w:val="26"/>
                <w:szCs w:val="26"/>
                <w:lang w:val="sr-Cyrl-RS"/>
              </w:rPr>
              <w:t>ИЗВЕШТАЈ О НАУЧНОЈ ЗАСНОВАНОСТИ ТЕМЕ ДОКТОРСКЕ ДИСЕРТАЦИЈЕ</w:t>
            </w:r>
          </w:p>
          <w:p w14:paraId="67D2F742" w14:textId="77777777" w:rsidR="00EA0590" w:rsidRPr="006B77E8" w:rsidRDefault="00EA0590" w:rsidP="00D22A91">
            <w:pPr>
              <w:jc w:val="center"/>
              <w:rPr>
                <w:sz w:val="16"/>
                <w:szCs w:val="16"/>
                <w:lang w:val="sr-Cyrl-RS"/>
              </w:rPr>
            </w:pPr>
          </w:p>
        </w:tc>
      </w:tr>
      <w:tr w:rsidR="00EA0590" w:rsidRPr="006B77E8" w14:paraId="4A1D7BB4" w14:textId="77777777" w:rsidTr="00D22A91">
        <w:trPr>
          <w:trHeight w:val="170"/>
          <w:jc w:val="center"/>
        </w:trPr>
        <w:tc>
          <w:tcPr>
            <w:tcW w:w="10786" w:type="dxa"/>
            <w:gridSpan w:val="9"/>
            <w:tcBorders>
              <w:top w:val="single" w:sz="18" w:space="0" w:color="808080"/>
              <w:bottom w:val="single" w:sz="18" w:space="0" w:color="808080"/>
            </w:tcBorders>
            <w:shd w:val="clear" w:color="auto" w:fill="auto"/>
            <w:vAlign w:val="center"/>
          </w:tcPr>
          <w:p w14:paraId="6469CE55" w14:textId="77777777" w:rsidR="00EA0590" w:rsidRPr="006B77E8" w:rsidRDefault="00EA0590" w:rsidP="00D22A91">
            <w:pPr>
              <w:rPr>
                <w:lang w:val="sr-Cyrl-RS"/>
              </w:rPr>
            </w:pPr>
          </w:p>
        </w:tc>
      </w:tr>
      <w:tr w:rsidR="00EA0590" w:rsidRPr="006B77E8" w14:paraId="1C7D7B7A" w14:textId="77777777" w:rsidTr="00D22A91">
        <w:trPr>
          <w:trHeight w:val="340"/>
          <w:jc w:val="center"/>
        </w:trPr>
        <w:tc>
          <w:tcPr>
            <w:tcW w:w="10786" w:type="dxa"/>
            <w:gridSpan w:val="9"/>
            <w:tcBorders>
              <w:top w:val="single" w:sz="18" w:space="0" w:color="808080"/>
            </w:tcBorders>
            <w:shd w:val="clear" w:color="auto" w:fill="D9D9D9"/>
            <w:vAlign w:val="center"/>
          </w:tcPr>
          <w:p w14:paraId="681F86A6" w14:textId="77777777" w:rsidR="00EA0590" w:rsidRPr="006B77E8" w:rsidRDefault="00EA0590" w:rsidP="00D22A91">
            <w:pPr>
              <w:jc w:val="center"/>
              <w:rPr>
                <w:b/>
                <w:lang w:val="sr-Cyrl-RS"/>
              </w:rPr>
            </w:pPr>
            <w:r w:rsidRPr="006B77E8">
              <w:rPr>
                <w:b/>
                <w:lang w:val="sr-Cyrl-RS"/>
              </w:rPr>
              <w:t>ПОДАЦИ О КАНДИДАТУ</w:t>
            </w:r>
          </w:p>
        </w:tc>
      </w:tr>
      <w:tr w:rsidR="00EA0590" w:rsidRPr="006B77E8" w14:paraId="436500A3" w14:textId="77777777" w:rsidTr="00D22A91">
        <w:trPr>
          <w:trHeight w:val="227"/>
          <w:jc w:val="center"/>
        </w:trPr>
        <w:tc>
          <w:tcPr>
            <w:tcW w:w="2346" w:type="dxa"/>
            <w:gridSpan w:val="3"/>
            <w:shd w:val="clear" w:color="auto" w:fill="F3F3F3"/>
            <w:vAlign w:val="center"/>
          </w:tcPr>
          <w:p w14:paraId="14F6C3C0" w14:textId="77777777" w:rsidR="00EA0590" w:rsidRPr="006B77E8" w:rsidRDefault="00EA0590" w:rsidP="00205631">
            <w:pPr>
              <w:jc w:val="left"/>
              <w:rPr>
                <w:sz w:val="18"/>
                <w:szCs w:val="18"/>
                <w:lang w:val="sr-Cyrl-RS"/>
              </w:rPr>
            </w:pPr>
            <w:r w:rsidRPr="006B77E8">
              <w:rPr>
                <w:sz w:val="18"/>
                <w:szCs w:val="18"/>
                <w:lang w:val="sr-Cyrl-RS"/>
              </w:rPr>
              <w:t>Презиме, име једног родитеља и име</w:t>
            </w:r>
          </w:p>
        </w:tc>
        <w:tc>
          <w:tcPr>
            <w:tcW w:w="8440" w:type="dxa"/>
            <w:gridSpan w:val="6"/>
            <w:vAlign w:val="center"/>
          </w:tcPr>
          <w:p w14:paraId="59C05AB7" w14:textId="2E45D2B8" w:rsidR="00EA0590" w:rsidRPr="006B77E8" w:rsidRDefault="00113816" w:rsidP="00D22A91">
            <w:pPr>
              <w:rPr>
                <w:lang w:val="sr-Cyrl-RS"/>
              </w:rPr>
            </w:pPr>
            <w:r w:rsidRPr="006B77E8">
              <w:rPr>
                <w:lang w:val="sr-Cyrl-RS"/>
              </w:rPr>
              <w:t>Миленковић, Славиша, Катарина</w:t>
            </w:r>
          </w:p>
        </w:tc>
      </w:tr>
      <w:tr w:rsidR="00EA0590" w:rsidRPr="006B77E8" w14:paraId="7AD2EBB5" w14:textId="77777777" w:rsidTr="00D22A91">
        <w:trPr>
          <w:trHeight w:val="227"/>
          <w:jc w:val="center"/>
        </w:trPr>
        <w:tc>
          <w:tcPr>
            <w:tcW w:w="2346" w:type="dxa"/>
            <w:gridSpan w:val="3"/>
            <w:shd w:val="clear" w:color="auto" w:fill="F3F3F3"/>
            <w:vAlign w:val="center"/>
          </w:tcPr>
          <w:p w14:paraId="14D6451C" w14:textId="77777777" w:rsidR="00EA0590" w:rsidRPr="006B77E8" w:rsidRDefault="00EA0590" w:rsidP="00D22A91">
            <w:pPr>
              <w:rPr>
                <w:sz w:val="18"/>
                <w:szCs w:val="18"/>
                <w:lang w:val="sr-Cyrl-RS"/>
              </w:rPr>
            </w:pPr>
            <w:r w:rsidRPr="006B77E8">
              <w:rPr>
                <w:sz w:val="18"/>
                <w:szCs w:val="18"/>
                <w:lang w:val="sr-Cyrl-RS"/>
              </w:rPr>
              <w:t>Датум и место рођења</w:t>
            </w:r>
          </w:p>
        </w:tc>
        <w:tc>
          <w:tcPr>
            <w:tcW w:w="8440" w:type="dxa"/>
            <w:gridSpan w:val="6"/>
            <w:vAlign w:val="center"/>
          </w:tcPr>
          <w:p w14:paraId="7B25F91E" w14:textId="426400CB" w:rsidR="00EA0590" w:rsidRPr="006B77E8" w:rsidRDefault="00113816" w:rsidP="00D22A91">
            <w:pPr>
              <w:rPr>
                <w:lang w:val="sr-Cyrl-RS"/>
              </w:rPr>
            </w:pPr>
            <w:r w:rsidRPr="006B77E8">
              <w:rPr>
                <w:lang w:val="sr-Cyrl-RS"/>
              </w:rPr>
              <w:t>13. 2. 1992., Ниш, Србија</w:t>
            </w:r>
          </w:p>
        </w:tc>
      </w:tr>
      <w:tr w:rsidR="00EA0590" w:rsidRPr="006B77E8" w14:paraId="6647F37A" w14:textId="77777777" w:rsidTr="00D22A91">
        <w:trPr>
          <w:trHeight w:val="340"/>
          <w:jc w:val="center"/>
        </w:trPr>
        <w:tc>
          <w:tcPr>
            <w:tcW w:w="10786" w:type="dxa"/>
            <w:gridSpan w:val="9"/>
            <w:shd w:val="clear" w:color="auto" w:fill="F3F3F3"/>
            <w:vAlign w:val="center"/>
          </w:tcPr>
          <w:p w14:paraId="08A969AE" w14:textId="77777777" w:rsidR="00EA0590" w:rsidRPr="006B77E8" w:rsidRDefault="00EA0590" w:rsidP="00D22A91">
            <w:pPr>
              <w:jc w:val="center"/>
              <w:rPr>
                <w:b/>
                <w:lang w:val="sr-Cyrl-RS"/>
              </w:rPr>
            </w:pPr>
            <w:r w:rsidRPr="006B77E8">
              <w:rPr>
                <w:b/>
                <w:lang w:val="sr-Cyrl-RS"/>
              </w:rPr>
              <w:t>Основне студије</w:t>
            </w:r>
          </w:p>
        </w:tc>
      </w:tr>
      <w:tr w:rsidR="00113816" w:rsidRPr="006B77E8" w14:paraId="5EC6EB33" w14:textId="77777777" w:rsidTr="00D22A91">
        <w:trPr>
          <w:trHeight w:val="340"/>
          <w:jc w:val="center"/>
        </w:trPr>
        <w:tc>
          <w:tcPr>
            <w:tcW w:w="2346" w:type="dxa"/>
            <w:gridSpan w:val="3"/>
            <w:shd w:val="clear" w:color="auto" w:fill="F3F3F3"/>
            <w:vAlign w:val="center"/>
          </w:tcPr>
          <w:p w14:paraId="71548328" w14:textId="77777777" w:rsidR="00113816" w:rsidRPr="006B77E8" w:rsidRDefault="00113816" w:rsidP="00113816">
            <w:pPr>
              <w:rPr>
                <w:sz w:val="18"/>
                <w:szCs w:val="18"/>
                <w:lang w:val="sr-Cyrl-RS"/>
              </w:rPr>
            </w:pPr>
            <w:r w:rsidRPr="006B77E8">
              <w:rPr>
                <w:sz w:val="18"/>
                <w:szCs w:val="18"/>
                <w:lang w:val="sr-Cyrl-RS"/>
              </w:rPr>
              <w:t>Универзитет</w:t>
            </w:r>
          </w:p>
        </w:tc>
        <w:tc>
          <w:tcPr>
            <w:tcW w:w="8440" w:type="dxa"/>
            <w:gridSpan w:val="6"/>
          </w:tcPr>
          <w:p w14:paraId="52388EB1" w14:textId="4C63AF5A" w:rsidR="00113816" w:rsidRPr="006B77E8" w:rsidRDefault="00113816" w:rsidP="00113816">
            <w:pPr>
              <w:rPr>
                <w:lang w:val="sr-Cyrl-RS"/>
              </w:rPr>
            </w:pPr>
            <w:r w:rsidRPr="006B77E8">
              <w:rPr>
                <w:lang w:val="sr-Cyrl-RS"/>
              </w:rPr>
              <w:t>Универзитет у Нишу</w:t>
            </w:r>
          </w:p>
        </w:tc>
      </w:tr>
      <w:tr w:rsidR="00113816" w:rsidRPr="006B77E8" w14:paraId="4E826CB3" w14:textId="77777777" w:rsidTr="00D22A91">
        <w:trPr>
          <w:trHeight w:val="340"/>
          <w:jc w:val="center"/>
        </w:trPr>
        <w:tc>
          <w:tcPr>
            <w:tcW w:w="2346" w:type="dxa"/>
            <w:gridSpan w:val="3"/>
            <w:shd w:val="clear" w:color="auto" w:fill="F3F3F3"/>
            <w:vAlign w:val="center"/>
          </w:tcPr>
          <w:p w14:paraId="1039E7A3" w14:textId="77777777" w:rsidR="00113816" w:rsidRPr="006B77E8" w:rsidRDefault="00113816" w:rsidP="00113816">
            <w:pPr>
              <w:rPr>
                <w:sz w:val="18"/>
                <w:szCs w:val="18"/>
                <w:lang w:val="sr-Cyrl-RS"/>
              </w:rPr>
            </w:pPr>
            <w:r w:rsidRPr="006B77E8">
              <w:rPr>
                <w:sz w:val="18"/>
                <w:szCs w:val="18"/>
                <w:lang w:val="sr-Cyrl-RS"/>
              </w:rPr>
              <w:t>Факултет</w:t>
            </w:r>
          </w:p>
        </w:tc>
        <w:tc>
          <w:tcPr>
            <w:tcW w:w="8440" w:type="dxa"/>
            <w:gridSpan w:val="6"/>
          </w:tcPr>
          <w:p w14:paraId="1877FF1B" w14:textId="274AE078" w:rsidR="00113816" w:rsidRPr="006B77E8" w:rsidRDefault="00113816" w:rsidP="00113816">
            <w:pPr>
              <w:rPr>
                <w:lang w:val="sr-Cyrl-RS"/>
              </w:rPr>
            </w:pPr>
            <w:r w:rsidRPr="006B77E8">
              <w:rPr>
                <w:lang w:val="sr-Cyrl-RS"/>
              </w:rPr>
              <w:t>Филозофски факултет</w:t>
            </w:r>
          </w:p>
        </w:tc>
      </w:tr>
      <w:tr w:rsidR="00113816" w:rsidRPr="006B77E8" w14:paraId="741CBB35" w14:textId="77777777" w:rsidTr="00D22A91">
        <w:trPr>
          <w:trHeight w:val="340"/>
          <w:jc w:val="center"/>
        </w:trPr>
        <w:tc>
          <w:tcPr>
            <w:tcW w:w="2346" w:type="dxa"/>
            <w:gridSpan w:val="3"/>
            <w:shd w:val="clear" w:color="auto" w:fill="F3F3F3"/>
            <w:vAlign w:val="center"/>
          </w:tcPr>
          <w:p w14:paraId="7C90EA36" w14:textId="77777777" w:rsidR="00113816" w:rsidRPr="006B77E8" w:rsidRDefault="00113816" w:rsidP="00113816">
            <w:pPr>
              <w:rPr>
                <w:sz w:val="18"/>
                <w:szCs w:val="18"/>
                <w:lang w:val="sr-Cyrl-RS"/>
              </w:rPr>
            </w:pPr>
            <w:r w:rsidRPr="006B77E8">
              <w:rPr>
                <w:sz w:val="18"/>
                <w:szCs w:val="18"/>
                <w:lang w:val="sr-Cyrl-RS"/>
              </w:rPr>
              <w:t>Студијски програм</w:t>
            </w:r>
          </w:p>
        </w:tc>
        <w:tc>
          <w:tcPr>
            <w:tcW w:w="8440" w:type="dxa"/>
            <w:gridSpan w:val="6"/>
          </w:tcPr>
          <w:p w14:paraId="5E761BFE" w14:textId="3039408C" w:rsidR="00113816" w:rsidRPr="006B77E8" w:rsidRDefault="00113816" w:rsidP="00113816">
            <w:pPr>
              <w:rPr>
                <w:lang w:val="sr-Cyrl-RS"/>
              </w:rPr>
            </w:pPr>
            <w:r w:rsidRPr="006B77E8">
              <w:rPr>
                <w:lang w:val="sr-Cyrl-RS"/>
              </w:rPr>
              <w:t>Основне академске студије англистике</w:t>
            </w:r>
          </w:p>
        </w:tc>
      </w:tr>
      <w:tr w:rsidR="00113816" w:rsidRPr="006B77E8" w14:paraId="56A10696" w14:textId="77777777" w:rsidTr="00D22A91">
        <w:trPr>
          <w:trHeight w:val="340"/>
          <w:jc w:val="center"/>
        </w:trPr>
        <w:tc>
          <w:tcPr>
            <w:tcW w:w="2346" w:type="dxa"/>
            <w:gridSpan w:val="3"/>
            <w:shd w:val="clear" w:color="auto" w:fill="F3F3F3"/>
            <w:vAlign w:val="center"/>
          </w:tcPr>
          <w:p w14:paraId="0D46DB97" w14:textId="77777777" w:rsidR="00113816" w:rsidRPr="006B77E8" w:rsidRDefault="00113816" w:rsidP="00113816">
            <w:pPr>
              <w:rPr>
                <w:sz w:val="18"/>
                <w:szCs w:val="18"/>
                <w:lang w:val="sr-Cyrl-RS"/>
              </w:rPr>
            </w:pPr>
            <w:r w:rsidRPr="006B77E8">
              <w:rPr>
                <w:sz w:val="18"/>
                <w:szCs w:val="18"/>
                <w:lang w:val="sr-Cyrl-RS"/>
              </w:rPr>
              <w:t>Звање</w:t>
            </w:r>
          </w:p>
        </w:tc>
        <w:tc>
          <w:tcPr>
            <w:tcW w:w="8440" w:type="dxa"/>
            <w:gridSpan w:val="6"/>
          </w:tcPr>
          <w:p w14:paraId="7262E2BB" w14:textId="48FF01AB" w:rsidR="00113816" w:rsidRPr="006B77E8" w:rsidRDefault="00113816" w:rsidP="00113816">
            <w:pPr>
              <w:rPr>
                <w:lang w:val="sr-Cyrl-RS"/>
              </w:rPr>
            </w:pPr>
            <w:r w:rsidRPr="006B77E8">
              <w:rPr>
                <w:lang w:val="sr-Cyrl-RS"/>
              </w:rPr>
              <w:t>Дипломирани филолог (англиста)</w:t>
            </w:r>
          </w:p>
        </w:tc>
      </w:tr>
      <w:tr w:rsidR="00113816" w:rsidRPr="006B77E8" w14:paraId="012D3313" w14:textId="77777777" w:rsidTr="00D22A91">
        <w:trPr>
          <w:trHeight w:val="340"/>
          <w:jc w:val="center"/>
        </w:trPr>
        <w:tc>
          <w:tcPr>
            <w:tcW w:w="2346" w:type="dxa"/>
            <w:gridSpan w:val="3"/>
            <w:shd w:val="clear" w:color="auto" w:fill="F3F3F3"/>
            <w:vAlign w:val="center"/>
          </w:tcPr>
          <w:p w14:paraId="7A867CA2" w14:textId="77777777" w:rsidR="00113816" w:rsidRPr="006B77E8" w:rsidRDefault="00113816" w:rsidP="00113816">
            <w:pPr>
              <w:rPr>
                <w:sz w:val="18"/>
                <w:szCs w:val="18"/>
                <w:lang w:val="sr-Cyrl-RS"/>
              </w:rPr>
            </w:pPr>
            <w:r w:rsidRPr="006B77E8">
              <w:rPr>
                <w:sz w:val="18"/>
                <w:szCs w:val="18"/>
                <w:lang w:val="sr-Cyrl-RS"/>
              </w:rPr>
              <w:t>Година уписа</w:t>
            </w:r>
          </w:p>
        </w:tc>
        <w:tc>
          <w:tcPr>
            <w:tcW w:w="8440" w:type="dxa"/>
            <w:gridSpan w:val="6"/>
          </w:tcPr>
          <w:p w14:paraId="14685262" w14:textId="79EFEABD" w:rsidR="00113816" w:rsidRPr="006B77E8" w:rsidRDefault="00113816" w:rsidP="00113816">
            <w:pPr>
              <w:rPr>
                <w:lang w:val="sr-Cyrl-RS"/>
              </w:rPr>
            </w:pPr>
            <w:r w:rsidRPr="006B77E8">
              <w:rPr>
                <w:lang w:val="sr-Cyrl-RS"/>
              </w:rPr>
              <w:t>2010.</w:t>
            </w:r>
          </w:p>
        </w:tc>
      </w:tr>
      <w:tr w:rsidR="00113816" w:rsidRPr="006B77E8" w14:paraId="469BD8AD" w14:textId="77777777" w:rsidTr="00D22A91">
        <w:trPr>
          <w:trHeight w:val="340"/>
          <w:jc w:val="center"/>
        </w:trPr>
        <w:tc>
          <w:tcPr>
            <w:tcW w:w="2346" w:type="dxa"/>
            <w:gridSpan w:val="3"/>
            <w:shd w:val="clear" w:color="auto" w:fill="F3F3F3"/>
            <w:vAlign w:val="center"/>
          </w:tcPr>
          <w:p w14:paraId="3E0D1F98" w14:textId="77777777" w:rsidR="00113816" w:rsidRPr="006B77E8" w:rsidRDefault="00113816" w:rsidP="00113816">
            <w:pPr>
              <w:rPr>
                <w:sz w:val="18"/>
                <w:szCs w:val="18"/>
                <w:lang w:val="sr-Cyrl-RS"/>
              </w:rPr>
            </w:pPr>
            <w:r w:rsidRPr="006B77E8">
              <w:rPr>
                <w:sz w:val="18"/>
                <w:szCs w:val="18"/>
                <w:lang w:val="sr-Cyrl-RS"/>
              </w:rPr>
              <w:t>Година завршетка</w:t>
            </w:r>
          </w:p>
        </w:tc>
        <w:tc>
          <w:tcPr>
            <w:tcW w:w="8440" w:type="dxa"/>
            <w:gridSpan w:val="6"/>
          </w:tcPr>
          <w:p w14:paraId="1881CCD5" w14:textId="040D4AE7" w:rsidR="00113816" w:rsidRPr="006B77E8" w:rsidRDefault="00113816" w:rsidP="00113816">
            <w:pPr>
              <w:rPr>
                <w:lang w:val="sr-Cyrl-RS"/>
              </w:rPr>
            </w:pPr>
            <w:r w:rsidRPr="006B77E8">
              <w:rPr>
                <w:lang w:val="sr-Cyrl-RS"/>
              </w:rPr>
              <w:t>2014.</w:t>
            </w:r>
          </w:p>
        </w:tc>
      </w:tr>
      <w:tr w:rsidR="00113816" w:rsidRPr="006B77E8" w14:paraId="4858AA94" w14:textId="77777777" w:rsidTr="00D22A91">
        <w:trPr>
          <w:trHeight w:val="340"/>
          <w:jc w:val="center"/>
        </w:trPr>
        <w:tc>
          <w:tcPr>
            <w:tcW w:w="2346" w:type="dxa"/>
            <w:gridSpan w:val="3"/>
            <w:shd w:val="clear" w:color="auto" w:fill="F3F3F3"/>
            <w:vAlign w:val="center"/>
          </w:tcPr>
          <w:p w14:paraId="63D441C2" w14:textId="77777777" w:rsidR="00113816" w:rsidRPr="006B77E8" w:rsidRDefault="00113816" w:rsidP="00113816">
            <w:pPr>
              <w:rPr>
                <w:sz w:val="18"/>
                <w:szCs w:val="18"/>
                <w:lang w:val="sr-Cyrl-RS"/>
              </w:rPr>
            </w:pPr>
            <w:r w:rsidRPr="006B77E8">
              <w:rPr>
                <w:sz w:val="18"/>
                <w:szCs w:val="18"/>
                <w:lang w:val="sr-Cyrl-RS"/>
              </w:rPr>
              <w:t>Просечна оцена</w:t>
            </w:r>
          </w:p>
        </w:tc>
        <w:tc>
          <w:tcPr>
            <w:tcW w:w="8440" w:type="dxa"/>
            <w:gridSpan w:val="6"/>
          </w:tcPr>
          <w:p w14:paraId="60EB924E" w14:textId="0CFF2550" w:rsidR="00113816" w:rsidRPr="006B77E8" w:rsidRDefault="00113816" w:rsidP="00113816">
            <w:pPr>
              <w:rPr>
                <w:lang w:val="sr-Cyrl-RS"/>
              </w:rPr>
            </w:pPr>
            <w:r w:rsidRPr="006B77E8">
              <w:rPr>
                <w:lang w:val="sr-Cyrl-RS"/>
              </w:rPr>
              <w:t>9,42 (девет, 42/100)</w:t>
            </w:r>
          </w:p>
        </w:tc>
      </w:tr>
      <w:tr w:rsidR="00EA0590" w:rsidRPr="006B77E8" w14:paraId="4396CA84" w14:textId="77777777" w:rsidTr="00D22A91">
        <w:trPr>
          <w:trHeight w:val="340"/>
          <w:jc w:val="center"/>
        </w:trPr>
        <w:tc>
          <w:tcPr>
            <w:tcW w:w="10786" w:type="dxa"/>
            <w:gridSpan w:val="9"/>
            <w:shd w:val="clear" w:color="auto" w:fill="F3F3F3"/>
            <w:vAlign w:val="center"/>
          </w:tcPr>
          <w:p w14:paraId="0C94CD5B" w14:textId="77777777" w:rsidR="00EA0590" w:rsidRPr="006B77E8" w:rsidRDefault="00EA0590" w:rsidP="00D22A91">
            <w:pPr>
              <w:jc w:val="center"/>
              <w:rPr>
                <w:b/>
                <w:lang w:val="sr-Cyrl-RS"/>
              </w:rPr>
            </w:pPr>
            <w:r w:rsidRPr="006B77E8">
              <w:rPr>
                <w:b/>
                <w:lang w:val="sr-Cyrl-RS"/>
              </w:rPr>
              <w:t>Мастер студије, магистарске студије</w:t>
            </w:r>
          </w:p>
        </w:tc>
      </w:tr>
      <w:tr w:rsidR="00113816" w:rsidRPr="006B77E8" w14:paraId="173453B2" w14:textId="77777777" w:rsidTr="00D22A91">
        <w:trPr>
          <w:trHeight w:val="340"/>
          <w:jc w:val="center"/>
        </w:trPr>
        <w:tc>
          <w:tcPr>
            <w:tcW w:w="2346" w:type="dxa"/>
            <w:gridSpan w:val="3"/>
            <w:shd w:val="clear" w:color="auto" w:fill="F3F3F3"/>
            <w:vAlign w:val="center"/>
          </w:tcPr>
          <w:p w14:paraId="0AE3F51C" w14:textId="77777777" w:rsidR="00113816" w:rsidRPr="006B77E8" w:rsidRDefault="00113816" w:rsidP="00113816">
            <w:pPr>
              <w:rPr>
                <w:sz w:val="18"/>
                <w:szCs w:val="18"/>
                <w:lang w:val="sr-Cyrl-RS"/>
              </w:rPr>
            </w:pPr>
            <w:r w:rsidRPr="006B77E8">
              <w:rPr>
                <w:sz w:val="18"/>
                <w:szCs w:val="18"/>
                <w:lang w:val="sr-Cyrl-RS"/>
              </w:rPr>
              <w:t>Универзитет</w:t>
            </w:r>
          </w:p>
        </w:tc>
        <w:tc>
          <w:tcPr>
            <w:tcW w:w="8440" w:type="dxa"/>
            <w:gridSpan w:val="6"/>
          </w:tcPr>
          <w:p w14:paraId="663EEDC4" w14:textId="6FBF077C" w:rsidR="00113816" w:rsidRPr="006B77E8" w:rsidRDefault="00113816" w:rsidP="00113816">
            <w:pPr>
              <w:rPr>
                <w:lang w:val="sr-Cyrl-RS"/>
              </w:rPr>
            </w:pPr>
            <w:r w:rsidRPr="006B77E8">
              <w:rPr>
                <w:lang w:val="sr-Cyrl-RS"/>
              </w:rPr>
              <w:t>Универзитет у Нишу</w:t>
            </w:r>
          </w:p>
        </w:tc>
      </w:tr>
      <w:tr w:rsidR="00113816" w:rsidRPr="006B77E8" w14:paraId="15EB5247" w14:textId="77777777" w:rsidTr="00D22A91">
        <w:trPr>
          <w:trHeight w:val="340"/>
          <w:jc w:val="center"/>
        </w:trPr>
        <w:tc>
          <w:tcPr>
            <w:tcW w:w="2346" w:type="dxa"/>
            <w:gridSpan w:val="3"/>
            <w:shd w:val="clear" w:color="auto" w:fill="F3F3F3"/>
            <w:vAlign w:val="center"/>
          </w:tcPr>
          <w:p w14:paraId="4D7B7ED3" w14:textId="77777777" w:rsidR="00113816" w:rsidRPr="006B77E8" w:rsidRDefault="00113816" w:rsidP="00113816">
            <w:pPr>
              <w:rPr>
                <w:sz w:val="18"/>
                <w:szCs w:val="18"/>
                <w:lang w:val="sr-Cyrl-RS"/>
              </w:rPr>
            </w:pPr>
            <w:r w:rsidRPr="006B77E8">
              <w:rPr>
                <w:sz w:val="18"/>
                <w:szCs w:val="18"/>
                <w:lang w:val="sr-Cyrl-RS"/>
              </w:rPr>
              <w:t>Факултет</w:t>
            </w:r>
          </w:p>
        </w:tc>
        <w:tc>
          <w:tcPr>
            <w:tcW w:w="8440" w:type="dxa"/>
            <w:gridSpan w:val="6"/>
          </w:tcPr>
          <w:p w14:paraId="15BD301C" w14:textId="0E8F0E32" w:rsidR="00113816" w:rsidRPr="006B77E8" w:rsidRDefault="00113816" w:rsidP="00113816">
            <w:pPr>
              <w:rPr>
                <w:lang w:val="sr-Cyrl-RS"/>
              </w:rPr>
            </w:pPr>
            <w:r w:rsidRPr="006B77E8">
              <w:rPr>
                <w:lang w:val="sr-Cyrl-RS"/>
              </w:rPr>
              <w:t>Филозофски факултет</w:t>
            </w:r>
          </w:p>
        </w:tc>
      </w:tr>
      <w:tr w:rsidR="00113816" w:rsidRPr="006B77E8" w14:paraId="6A177EB7" w14:textId="77777777" w:rsidTr="00D22A91">
        <w:trPr>
          <w:trHeight w:val="340"/>
          <w:jc w:val="center"/>
        </w:trPr>
        <w:tc>
          <w:tcPr>
            <w:tcW w:w="2346" w:type="dxa"/>
            <w:gridSpan w:val="3"/>
            <w:shd w:val="clear" w:color="auto" w:fill="F3F3F3"/>
            <w:vAlign w:val="center"/>
          </w:tcPr>
          <w:p w14:paraId="7FC038CB" w14:textId="77777777" w:rsidR="00113816" w:rsidRPr="006B77E8" w:rsidRDefault="00113816" w:rsidP="00113816">
            <w:pPr>
              <w:rPr>
                <w:sz w:val="18"/>
                <w:szCs w:val="18"/>
                <w:lang w:val="sr-Cyrl-RS"/>
              </w:rPr>
            </w:pPr>
            <w:r w:rsidRPr="006B77E8">
              <w:rPr>
                <w:sz w:val="18"/>
                <w:szCs w:val="18"/>
                <w:lang w:val="sr-Cyrl-RS"/>
              </w:rPr>
              <w:t>Студијски програм</w:t>
            </w:r>
          </w:p>
        </w:tc>
        <w:tc>
          <w:tcPr>
            <w:tcW w:w="8440" w:type="dxa"/>
            <w:gridSpan w:val="6"/>
          </w:tcPr>
          <w:p w14:paraId="0C4FBD22" w14:textId="47E293C7" w:rsidR="00113816" w:rsidRPr="006B77E8" w:rsidRDefault="00113816" w:rsidP="00113816">
            <w:pPr>
              <w:rPr>
                <w:lang w:val="sr-Cyrl-RS"/>
              </w:rPr>
            </w:pPr>
            <w:r w:rsidRPr="006B77E8">
              <w:rPr>
                <w:lang w:val="sr-Cyrl-RS"/>
              </w:rPr>
              <w:t>Мастер академске студије англистике</w:t>
            </w:r>
          </w:p>
        </w:tc>
      </w:tr>
      <w:tr w:rsidR="00113816" w:rsidRPr="006B77E8" w14:paraId="29FD7E82" w14:textId="77777777" w:rsidTr="00D22A91">
        <w:trPr>
          <w:trHeight w:val="340"/>
          <w:jc w:val="center"/>
        </w:trPr>
        <w:tc>
          <w:tcPr>
            <w:tcW w:w="2346" w:type="dxa"/>
            <w:gridSpan w:val="3"/>
            <w:shd w:val="clear" w:color="auto" w:fill="F3F3F3"/>
            <w:vAlign w:val="center"/>
          </w:tcPr>
          <w:p w14:paraId="2265299E" w14:textId="77777777" w:rsidR="00113816" w:rsidRPr="006B77E8" w:rsidRDefault="00113816" w:rsidP="00113816">
            <w:pPr>
              <w:rPr>
                <w:sz w:val="18"/>
                <w:szCs w:val="18"/>
                <w:lang w:val="sr-Cyrl-RS"/>
              </w:rPr>
            </w:pPr>
            <w:r w:rsidRPr="006B77E8">
              <w:rPr>
                <w:sz w:val="18"/>
                <w:szCs w:val="18"/>
                <w:lang w:val="sr-Cyrl-RS"/>
              </w:rPr>
              <w:t>Звање</w:t>
            </w:r>
          </w:p>
        </w:tc>
        <w:tc>
          <w:tcPr>
            <w:tcW w:w="8440" w:type="dxa"/>
            <w:gridSpan w:val="6"/>
          </w:tcPr>
          <w:p w14:paraId="1DFA64E6" w14:textId="6E802F36" w:rsidR="00113816" w:rsidRPr="006B77E8" w:rsidRDefault="00113816" w:rsidP="00113816">
            <w:pPr>
              <w:rPr>
                <w:lang w:val="sr-Cyrl-RS"/>
              </w:rPr>
            </w:pPr>
            <w:r w:rsidRPr="006B77E8">
              <w:rPr>
                <w:lang w:val="sr-Cyrl-RS"/>
              </w:rPr>
              <w:t>Мастер филолог (англиста)</w:t>
            </w:r>
          </w:p>
        </w:tc>
      </w:tr>
      <w:tr w:rsidR="00113816" w:rsidRPr="006B77E8" w14:paraId="2FE0C57D" w14:textId="77777777" w:rsidTr="00D22A91">
        <w:trPr>
          <w:trHeight w:val="340"/>
          <w:jc w:val="center"/>
        </w:trPr>
        <w:tc>
          <w:tcPr>
            <w:tcW w:w="2346" w:type="dxa"/>
            <w:gridSpan w:val="3"/>
            <w:shd w:val="clear" w:color="auto" w:fill="F3F3F3"/>
            <w:vAlign w:val="center"/>
          </w:tcPr>
          <w:p w14:paraId="7CEB087B" w14:textId="77777777" w:rsidR="00113816" w:rsidRPr="006B77E8" w:rsidRDefault="00113816" w:rsidP="00113816">
            <w:pPr>
              <w:rPr>
                <w:sz w:val="18"/>
                <w:szCs w:val="18"/>
                <w:lang w:val="sr-Cyrl-RS"/>
              </w:rPr>
            </w:pPr>
            <w:r w:rsidRPr="006B77E8">
              <w:rPr>
                <w:sz w:val="18"/>
                <w:szCs w:val="18"/>
                <w:lang w:val="sr-Cyrl-RS"/>
              </w:rPr>
              <w:t>Година уписа</w:t>
            </w:r>
          </w:p>
        </w:tc>
        <w:tc>
          <w:tcPr>
            <w:tcW w:w="8440" w:type="dxa"/>
            <w:gridSpan w:val="6"/>
          </w:tcPr>
          <w:p w14:paraId="5FB14CEB" w14:textId="46A02FC4" w:rsidR="00113816" w:rsidRPr="006B77E8" w:rsidRDefault="00113816" w:rsidP="00113816">
            <w:pPr>
              <w:rPr>
                <w:lang w:val="sr-Cyrl-RS"/>
              </w:rPr>
            </w:pPr>
            <w:r w:rsidRPr="006B77E8">
              <w:rPr>
                <w:lang w:val="sr-Cyrl-RS"/>
              </w:rPr>
              <w:t>2014.</w:t>
            </w:r>
          </w:p>
        </w:tc>
      </w:tr>
      <w:tr w:rsidR="00113816" w:rsidRPr="006B77E8" w14:paraId="44FA4F5A" w14:textId="77777777" w:rsidTr="00D22A91">
        <w:trPr>
          <w:trHeight w:val="340"/>
          <w:jc w:val="center"/>
        </w:trPr>
        <w:tc>
          <w:tcPr>
            <w:tcW w:w="2346" w:type="dxa"/>
            <w:gridSpan w:val="3"/>
            <w:shd w:val="clear" w:color="auto" w:fill="F3F3F3"/>
            <w:vAlign w:val="center"/>
          </w:tcPr>
          <w:p w14:paraId="5D051863" w14:textId="77777777" w:rsidR="00113816" w:rsidRPr="006B77E8" w:rsidRDefault="00113816" w:rsidP="00113816">
            <w:pPr>
              <w:rPr>
                <w:sz w:val="18"/>
                <w:szCs w:val="18"/>
                <w:lang w:val="sr-Cyrl-RS"/>
              </w:rPr>
            </w:pPr>
            <w:r w:rsidRPr="006B77E8">
              <w:rPr>
                <w:sz w:val="18"/>
                <w:szCs w:val="18"/>
                <w:lang w:val="sr-Cyrl-RS"/>
              </w:rPr>
              <w:t>Година завршетка</w:t>
            </w:r>
          </w:p>
        </w:tc>
        <w:tc>
          <w:tcPr>
            <w:tcW w:w="8440" w:type="dxa"/>
            <w:gridSpan w:val="6"/>
          </w:tcPr>
          <w:p w14:paraId="27856ED9" w14:textId="0A554381" w:rsidR="00113816" w:rsidRPr="006B77E8" w:rsidRDefault="00113816" w:rsidP="00113816">
            <w:pPr>
              <w:rPr>
                <w:lang w:val="sr-Cyrl-RS"/>
              </w:rPr>
            </w:pPr>
            <w:r w:rsidRPr="006B77E8">
              <w:rPr>
                <w:lang w:val="sr-Cyrl-RS"/>
              </w:rPr>
              <w:t>2016.</w:t>
            </w:r>
          </w:p>
        </w:tc>
      </w:tr>
      <w:tr w:rsidR="00113816" w:rsidRPr="006B77E8" w14:paraId="30D10490" w14:textId="77777777" w:rsidTr="00D22A91">
        <w:trPr>
          <w:trHeight w:val="340"/>
          <w:jc w:val="center"/>
        </w:trPr>
        <w:tc>
          <w:tcPr>
            <w:tcW w:w="2346" w:type="dxa"/>
            <w:gridSpan w:val="3"/>
            <w:shd w:val="clear" w:color="auto" w:fill="F3F3F3"/>
            <w:vAlign w:val="center"/>
          </w:tcPr>
          <w:p w14:paraId="51C30556" w14:textId="77777777" w:rsidR="00113816" w:rsidRPr="006B77E8" w:rsidRDefault="00113816" w:rsidP="00113816">
            <w:pPr>
              <w:rPr>
                <w:sz w:val="18"/>
                <w:szCs w:val="18"/>
                <w:lang w:val="sr-Cyrl-RS"/>
              </w:rPr>
            </w:pPr>
            <w:r w:rsidRPr="006B77E8">
              <w:rPr>
                <w:sz w:val="18"/>
                <w:szCs w:val="18"/>
                <w:lang w:val="sr-Cyrl-RS"/>
              </w:rPr>
              <w:t>Просечна оцена</w:t>
            </w:r>
          </w:p>
        </w:tc>
        <w:tc>
          <w:tcPr>
            <w:tcW w:w="8440" w:type="dxa"/>
            <w:gridSpan w:val="6"/>
          </w:tcPr>
          <w:p w14:paraId="41B0A5AF" w14:textId="040B626A" w:rsidR="00113816" w:rsidRPr="006B77E8" w:rsidRDefault="00113816" w:rsidP="00113816">
            <w:pPr>
              <w:rPr>
                <w:lang w:val="sr-Cyrl-RS"/>
              </w:rPr>
            </w:pPr>
            <w:r w:rsidRPr="006B77E8">
              <w:rPr>
                <w:lang w:val="sr-Cyrl-RS"/>
              </w:rPr>
              <w:t>10,00 (десет)</w:t>
            </w:r>
          </w:p>
        </w:tc>
      </w:tr>
      <w:tr w:rsidR="00113816" w:rsidRPr="006B77E8" w14:paraId="37ABC214" w14:textId="77777777" w:rsidTr="00D22A91">
        <w:trPr>
          <w:trHeight w:val="340"/>
          <w:jc w:val="center"/>
        </w:trPr>
        <w:tc>
          <w:tcPr>
            <w:tcW w:w="2346" w:type="dxa"/>
            <w:gridSpan w:val="3"/>
            <w:shd w:val="clear" w:color="auto" w:fill="F3F3F3"/>
            <w:vAlign w:val="center"/>
          </w:tcPr>
          <w:p w14:paraId="5DA8E7EB" w14:textId="77777777" w:rsidR="00113816" w:rsidRPr="006B77E8" w:rsidRDefault="00113816" w:rsidP="00113816">
            <w:pPr>
              <w:rPr>
                <w:sz w:val="18"/>
                <w:szCs w:val="18"/>
                <w:lang w:val="sr-Cyrl-RS"/>
              </w:rPr>
            </w:pPr>
            <w:r w:rsidRPr="006B77E8">
              <w:rPr>
                <w:sz w:val="18"/>
                <w:szCs w:val="18"/>
                <w:lang w:val="sr-Cyrl-RS"/>
              </w:rPr>
              <w:t>Научна област</w:t>
            </w:r>
          </w:p>
        </w:tc>
        <w:tc>
          <w:tcPr>
            <w:tcW w:w="8440" w:type="dxa"/>
            <w:gridSpan w:val="6"/>
          </w:tcPr>
          <w:p w14:paraId="33D619E2" w14:textId="43CB38FA" w:rsidR="00113816" w:rsidRPr="006B77E8" w:rsidRDefault="00113816" w:rsidP="00113816">
            <w:pPr>
              <w:rPr>
                <w:lang w:val="sr-Cyrl-RS"/>
              </w:rPr>
            </w:pPr>
            <w:r w:rsidRPr="006B77E8">
              <w:rPr>
                <w:lang w:val="sr-Cyrl-RS"/>
              </w:rPr>
              <w:t>Филолошке науке; англистичка лингвистика; когнитивна лингвистика</w:t>
            </w:r>
          </w:p>
        </w:tc>
      </w:tr>
      <w:tr w:rsidR="00113816" w:rsidRPr="006B77E8" w14:paraId="7D0E16E7" w14:textId="77777777" w:rsidTr="00113816">
        <w:trPr>
          <w:trHeight w:val="580"/>
          <w:jc w:val="center"/>
        </w:trPr>
        <w:tc>
          <w:tcPr>
            <w:tcW w:w="2346" w:type="dxa"/>
            <w:gridSpan w:val="3"/>
            <w:shd w:val="clear" w:color="auto" w:fill="F3F3F3"/>
            <w:vAlign w:val="center"/>
          </w:tcPr>
          <w:p w14:paraId="53413DF9" w14:textId="77777777" w:rsidR="00113816" w:rsidRPr="006B77E8" w:rsidRDefault="00113816" w:rsidP="00113816">
            <w:pPr>
              <w:rPr>
                <w:sz w:val="18"/>
                <w:szCs w:val="18"/>
                <w:lang w:val="sr-Cyrl-RS"/>
              </w:rPr>
            </w:pPr>
            <w:r w:rsidRPr="006B77E8">
              <w:rPr>
                <w:sz w:val="18"/>
                <w:szCs w:val="18"/>
                <w:lang w:val="sr-Cyrl-RS"/>
              </w:rPr>
              <w:t>Наслов завршног рада</w:t>
            </w:r>
          </w:p>
        </w:tc>
        <w:tc>
          <w:tcPr>
            <w:tcW w:w="8440" w:type="dxa"/>
            <w:gridSpan w:val="6"/>
          </w:tcPr>
          <w:p w14:paraId="08F368F4" w14:textId="59948F0E" w:rsidR="00113816" w:rsidRPr="006B77E8" w:rsidRDefault="00113816" w:rsidP="00113816">
            <w:pPr>
              <w:rPr>
                <w:lang w:val="sr-Cyrl-RS"/>
              </w:rPr>
            </w:pPr>
            <w:r w:rsidRPr="006B77E8">
              <w:rPr>
                <w:i/>
                <w:iCs/>
                <w:lang w:val="sr-Cyrl-RS"/>
              </w:rPr>
              <w:t>Serbian Grammar School and EFL Students’ Recognition of Conceptual Metaphor</w:t>
            </w:r>
            <w:r w:rsidRPr="006B77E8">
              <w:rPr>
                <w:lang w:val="sr-Cyrl-RS"/>
              </w:rPr>
              <w:t xml:space="preserve"> (</w:t>
            </w:r>
            <w:r w:rsidRPr="006B77E8">
              <w:rPr>
                <w:i/>
                <w:lang w:val="sr-Cyrl-RS"/>
              </w:rPr>
              <w:t>Препознавање појмовне метафоре код популације српских ученика гимназије и студената англистике</w:t>
            </w:r>
            <w:r w:rsidRPr="006B77E8">
              <w:rPr>
                <w:lang w:val="sr-Cyrl-RS"/>
              </w:rPr>
              <w:t>)</w:t>
            </w:r>
          </w:p>
        </w:tc>
      </w:tr>
      <w:tr w:rsidR="00EA0590" w:rsidRPr="006B77E8" w14:paraId="0CCBC6D6" w14:textId="77777777" w:rsidTr="00D22A91">
        <w:trPr>
          <w:trHeight w:val="340"/>
          <w:jc w:val="center"/>
        </w:trPr>
        <w:tc>
          <w:tcPr>
            <w:tcW w:w="10786" w:type="dxa"/>
            <w:gridSpan w:val="9"/>
            <w:shd w:val="clear" w:color="auto" w:fill="F3F3F3"/>
            <w:vAlign w:val="center"/>
          </w:tcPr>
          <w:p w14:paraId="209199F3" w14:textId="77777777" w:rsidR="00EA0590" w:rsidRPr="006B77E8" w:rsidRDefault="00EA0590" w:rsidP="00D22A91">
            <w:pPr>
              <w:jc w:val="center"/>
              <w:rPr>
                <w:b/>
                <w:lang w:val="sr-Cyrl-RS"/>
              </w:rPr>
            </w:pPr>
            <w:r w:rsidRPr="006B77E8">
              <w:rPr>
                <w:b/>
                <w:lang w:val="sr-Cyrl-RS"/>
              </w:rPr>
              <w:t>Докторске студије</w:t>
            </w:r>
          </w:p>
        </w:tc>
      </w:tr>
      <w:tr w:rsidR="00113816" w:rsidRPr="006B77E8" w14:paraId="0EC577B7" w14:textId="77777777" w:rsidTr="00D22A91">
        <w:trPr>
          <w:trHeight w:val="340"/>
          <w:jc w:val="center"/>
        </w:trPr>
        <w:tc>
          <w:tcPr>
            <w:tcW w:w="2346" w:type="dxa"/>
            <w:gridSpan w:val="3"/>
            <w:shd w:val="clear" w:color="auto" w:fill="F3F3F3"/>
            <w:vAlign w:val="center"/>
          </w:tcPr>
          <w:p w14:paraId="0097C521" w14:textId="77777777" w:rsidR="00113816" w:rsidRPr="006B77E8" w:rsidRDefault="00113816" w:rsidP="00113816">
            <w:pPr>
              <w:rPr>
                <w:sz w:val="18"/>
                <w:szCs w:val="18"/>
                <w:lang w:val="sr-Cyrl-RS"/>
              </w:rPr>
            </w:pPr>
            <w:r w:rsidRPr="006B77E8">
              <w:rPr>
                <w:sz w:val="18"/>
                <w:szCs w:val="18"/>
                <w:lang w:val="sr-Cyrl-RS"/>
              </w:rPr>
              <w:t>Универзитет</w:t>
            </w:r>
          </w:p>
        </w:tc>
        <w:tc>
          <w:tcPr>
            <w:tcW w:w="8440" w:type="dxa"/>
            <w:gridSpan w:val="6"/>
          </w:tcPr>
          <w:p w14:paraId="59723E1B" w14:textId="04068B7C" w:rsidR="00113816" w:rsidRPr="006B77E8" w:rsidRDefault="00113816" w:rsidP="00113816">
            <w:pPr>
              <w:rPr>
                <w:lang w:val="sr-Cyrl-RS"/>
              </w:rPr>
            </w:pPr>
            <w:r w:rsidRPr="006B77E8">
              <w:rPr>
                <w:lang w:val="sr-Cyrl-RS"/>
              </w:rPr>
              <w:t>Универзитет у Нишу</w:t>
            </w:r>
          </w:p>
        </w:tc>
      </w:tr>
      <w:tr w:rsidR="00113816" w:rsidRPr="006B77E8" w14:paraId="5907BFC2" w14:textId="77777777" w:rsidTr="00D22A91">
        <w:trPr>
          <w:trHeight w:val="340"/>
          <w:jc w:val="center"/>
        </w:trPr>
        <w:tc>
          <w:tcPr>
            <w:tcW w:w="2346" w:type="dxa"/>
            <w:gridSpan w:val="3"/>
            <w:shd w:val="clear" w:color="auto" w:fill="F3F3F3"/>
            <w:vAlign w:val="center"/>
          </w:tcPr>
          <w:p w14:paraId="488E679E" w14:textId="77777777" w:rsidR="00113816" w:rsidRPr="006B77E8" w:rsidRDefault="00113816" w:rsidP="00113816">
            <w:pPr>
              <w:rPr>
                <w:sz w:val="18"/>
                <w:szCs w:val="18"/>
                <w:lang w:val="sr-Cyrl-RS"/>
              </w:rPr>
            </w:pPr>
            <w:r w:rsidRPr="006B77E8">
              <w:rPr>
                <w:sz w:val="18"/>
                <w:szCs w:val="18"/>
                <w:lang w:val="sr-Cyrl-RS"/>
              </w:rPr>
              <w:t>Факултет</w:t>
            </w:r>
          </w:p>
        </w:tc>
        <w:tc>
          <w:tcPr>
            <w:tcW w:w="8440" w:type="dxa"/>
            <w:gridSpan w:val="6"/>
          </w:tcPr>
          <w:p w14:paraId="1A2A04D3" w14:textId="0A21D191" w:rsidR="00113816" w:rsidRPr="006B77E8" w:rsidRDefault="00113816" w:rsidP="00113816">
            <w:pPr>
              <w:rPr>
                <w:lang w:val="sr-Cyrl-RS"/>
              </w:rPr>
            </w:pPr>
            <w:r w:rsidRPr="006B77E8">
              <w:rPr>
                <w:lang w:val="sr-Cyrl-RS"/>
              </w:rPr>
              <w:t>Филозофски факултет</w:t>
            </w:r>
          </w:p>
        </w:tc>
      </w:tr>
      <w:tr w:rsidR="00EA0590" w:rsidRPr="006B77E8" w14:paraId="66FA4102" w14:textId="77777777" w:rsidTr="00D22A91">
        <w:trPr>
          <w:trHeight w:val="340"/>
          <w:jc w:val="center"/>
        </w:trPr>
        <w:tc>
          <w:tcPr>
            <w:tcW w:w="2346" w:type="dxa"/>
            <w:gridSpan w:val="3"/>
            <w:shd w:val="clear" w:color="auto" w:fill="F3F3F3"/>
            <w:vAlign w:val="center"/>
          </w:tcPr>
          <w:p w14:paraId="19545CA8" w14:textId="77777777" w:rsidR="00EA0590" w:rsidRPr="006B77E8" w:rsidRDefault="00EA0590" w:rsidP="00D22A91">
            <w:pPr>
              <w:rPr>
                <w:sz w:val="18"/>
                <w:szCs w:val="18"/>
                <w:lang w:val="sr-Cyrl-RS"/>
              </w:rPr>
            </w:pPr>
            <w:r w:rsidRPr="006B77E8">
              <w:rPr>
                <w:sz w:val="18"/>
                <w:szCs w:val="18"/>
                <w:lang w:val="sr-Cyrl-RS"/>
              </w:rPr>
              <w:t>Студијски програм</w:t>
            </w:r>
          </w:p>
        </w:tc>
        <w:tc>
          <w:tcPr>
            <w:tcW w:w="8440" w:type="dxa"/>
            <w:gridSpan w:val="6"/>
            <w:vAlign w:val="center"/>
          </w:tcPr>
          <w:p w14:paraId="54735114" w14:textId="270701EF" w:rsidR="00EA0590" w:rsidRPr="006B77E8" w:rsidRDefault="00113816" w:rsidP="00D22A91">
            <w:pPr>
              <w:rPr>
                <w:lang w:val="sr-Cyrl-RS"/>
              </w:rPr>
            </w:pPr>
            <w:r w:rsidRPr="006B77E8">
              <w:rPr>
                <w:lang w:val="sr-Cyrl-RS"/>
              </w:rPr>
              <w:t>Докторске студије филологије</w:t>
            </w:r>
          </w:p>
        </w:tc>
      </w:tr>
      <w:tr w:rsidR="00EA0590" w:rsidRPr="006B77E8" w14:paraId="0BD16458" w14:textId="77777777" w:rsidTr="00D22A91">
        <w:trPr>
          <w:trHeight w:val="340"/>
          <w:jc w:val="center"/>
        </w:trPr>
        <w:tc>
          <w:tcPr>
            <w:tcW w:w="2346" w:type="dxa"/>
            <w:gridSpan w:val="3"/>
            <w:shd w:val="clear" w:color="auto" w:fill="F3F3F3"/>
            <w:vAlign w:val="center"/>
          </w:tcPr>
          <w:p w14:paraId="299CD447" w14:textId="77777777" w:rsidR="00EA0590" w:rsidRPr="006B77E8" w:rsidRDefault="00EA0590" w:rsidP="00D22A91">
            <w:pPr>
              <w:rPr>
                <w:sz w:val="18"/>
                <w:szCs w:val="18"/>
                <w:lang w:val="sr-Cyrl-RS"/>
              </w:rPr>
            </w:pPr>
            <w:r w:rsidRPr="006B77E8">
              <w:rPr>
                <w:sz w:val="18"/>
                <w:szCs w:val="18"/>
                <w:lang w:val="sr-Cyrl-RS"/>
              </w:rPr>
              <w:t>Година уписа</w:t>
            </w:r>
          </w:p>
        </w:tc>
        <w:tc>
          <w:tcPr>
            <w:tcW w:w="8440" w:type="dxa"/>
            <w:gridSpan w:val="6"/>
            <w:vAlign w:val="center"/>
          </w:tcPr>
          <w:p w14:paraId="00886683" w14:textId="09CEF8AC" w:rsidR="00EA0590" w:rsidRPr="006B77E8" w:rsidRDefault="00C26173" w:rsidP="00D22A91">
            <w:pPr>
              <w:rPr>
                <w:lang w:val="sr-Cyrl-RS"/>
              </w:rPr>
            </w:pPr>
            <w:r w:rsidRPr="006B77E8">
              <w:rPr>
                <w:lang w:val="sr-Cyrl-RS"/>
              </w:rPr>
              <w:t>2016.</w:t>
            </w:r>
          </w:p>
        </w:tc>
      </w:tr>
      <w:tr w:rsidR="00EA0590" w:rsidRPr="006B77E8" w14:paraId="53770290" w14:textId="77777777" w:rsidTr="00D22A91">
        <w:trPr>
          <w:trHeight w:val="340"/>
          <w:jc w:val="center"/>
        </w:trPr>
        <w:tc>
          <w:tcPr>
            <w:tcW w:w="2346" w:type="dxa"/>
            <w:gridSpan w:val="3"/>
            <w:shd w:val="clear" w:color="auto" w:fill="F3F3F3"/>
            <w:vAlign w:val="center"/>
          </w:tcPr>
          <w:p w14:paraId="7B0332A6" w14:textId="77777777" w:rsidR="00EA0590" w:rsidRPr="006B77E8" w:rsidRDefault="00EA0590" w:rsidP="00D22A91">
            <w:pPr>
              <w:rPr>
                <w:sz w:val="18"/>
                <w:szCs w:val="18"/>
                <w:lang w:val="sr-Cyrl-RS"/>
              </w:rPr>
            </w:pPr>
            <w:r w:rsidRPr="006B77E8">
              <w:rPr>
                <w:sz w:val="18"/>
                <w:szCs w:val="18"/>
                <w:lang w:val="sr-Cyrl-RS"/>
              </w:rPr>
              <w:t>Остварен број ЕСПБ бодова</w:t>
            </w:r>
          </w:p>
        </w:tc>
        <w:tc>
          <w:tcPr>
            <w:tcW w:w="8440" w:type="dxa"/>
            <w:gridSpan w:val="6"/>
            <w:vAlign w:val="center"/>
          </w:tcPr>
          <w:p w14:paraId="44BAF5DD" w14:textId="0A94F8FF" w:rsidR="00EA0590" w:rsidRPr="006B77E8" w:rsidRDefault="00C26173" w:rsidP="00D22A91">
            <w:pPr>
              <w:rPr>
                <w:lang w:val="sr-Cyrl-RS"/>
              </w:rPr>
            </w:pPr>
            <w:r w:rsidRPr="006B77E8">
              <w:rPr>
                <w:lang w:val="sr-Cyrl-RS"/>
              </w:rPr>
              <w:t>120</w:t>
            </w:r>
          </w:p>
        </w:tc>
      </w:tr>
      <w:tr w:rsidR="00EA0590" w:rsidRPr="006B77E8" w14:paraId="5F1092C6" w14:textId="77777777" w:rsidTr="00D22A91">
        <w:trPr>
          <w:trHeight w:val="340"/>
          <w:jc w:val="center"/>
        </w:trPr>
        <w:tc>
          <w:tcPr>
            <w:tcW w:w="2346" w:type="dxa"/>
            <w:gridSpan w:val="3"/>
            <w:shd w:val="clear" w:color="auto" w:fill="F3F3F3"/>
            <w:vAlign w:val="center"/>
          </w:tcPr>
          <w:p w14:paraId="17AA4201" w14:textId="77777777" w:rsidR="00EA0590" w:rsidRPr="006B77E8" w:rsidRDefault="00EA0590" w:rsidP="00D22A91">
            <w:pPr>
              <w:rPr>
                <w:sz w:val="18"/>
                <w:szCs w:val="18"/>
                <w:lang w:val="sr-Cyrl-RS"/>
              </w:rPr>
            </w:pPr>
            <w:r w:rsidRPr="006B77E8">
              <w:rPr>
                <w:sz w:val="18"/>
                <w:szCs w:val="18"/>
                <w:lang w:val="sr-Cyrl-RS"/>
              </w:rPr>
              <w:t>Просечна оцена</w:t>
            </w:r>
          </w:p>
        </w:tc>
        <w:tc>
          <w:tcPr>
            <w:tcW w:w="8440" w:type="dxa"/>
            <w:gridSpan w:val="6"/>
            <w:vAlign w:val="center"/>
          </w:tcPr>
          <w:p w14:paraId="79B2E538" w14:textId="20485FBE" w:rsidR="00EA0590" w:rsidRPr="006B77E8" w:rsidRDefault="006B77E8" w:rsidP="00D22A91">
            <w:pPr>
              <w:rPr>
                <w:lang w:val="sr-Cyrl-RS"/>
              </w:rPr>
            </w:pPr>
            <w:r w:rsidRPr="006B77E8">
              <w:rPr>
                <w:lang w:val="sr-Cyrl-RS"/>
              </w:rPr>
              <w:t>10,00 (десет) (у току прве две године студија)</w:t>
            </w:r>
          </w:p>
        </w:tc>
      </w:tr>
      <w:tr w:rsidR="00EA0590" w:rsidRPr="006B77E8" w14:paraId="178EC596" w14:textId="77777777" w:rsidTr="00D22A91">
        <w:trPr>
          <w:trHeight w:val="340"/>
          <w:jc w:val="center"/>
        </w:trPr>
        <w:tc>
          <w:tcPr>
            <w:tcW w:w="10786" w:type="dxa"/>
            <w:gridSpan w:val="9"/>
            <w:shd w:val="clear" w:color="auto" w:fill="D9D9D9"/>
            <w:vAlign w:val="center"/>
          </w:tcPr>
          <w:p w14:paraId="19DB9278" w14:textId="77777777" w:rsidR="00EA0590" w:rsidRPr="006B77E8" w:rsidRDefault="00EA0590" w:rsidP="00D22A91">
            <w:pPr>
              <w:jc w:val="center"/>
              <w:rPr>
                <w:rFonts w:eastAsia="TimesNewRomanPS-BoldMT"/>
                <w:b/>
                <w:lang w:val="sr-Cyrl-RS"/>
              </w:rPr>
            </w:pPr>
            <w:r w:rsidRPr="006B77E8">
              <w:rPr>
                <w:rFonts w:eastAsia="TimesNewRomanPS-BoldMT"/>
                <w:b/>
                <w:lang w:val="sr-Cyrl-RS"/>
              </w:rPr>
              <w:t>ПРИКАЗ НАУЧНИХ И СТРУЧНИХ РАДОВА КАНДИДАТА</w:t>
            </w:r>
          </w:p>
        </w:tc>
      </w:tr>
      <w:tr w:rsidR="00EA0590" w:rsidRPr="006B77E8" w14:paraId="767C2303" w14:textId="77777777" w:rsidTr="00D22A91">
        <w:trPr>
          <w:trHeight w:val="340"/>
          <w:jc w:val="center"/>
        </w:trPr>
        <w:tc>
          <w:tcPr>
            <w:tcW w:w="547" w:type="dxa"/>
            <w:shd w:val="clear" w:color="auto" w:fill="F3F3F3"/>
            <w:vAlign w:val="center"/>
          </w:tcPr>
          <w:p w14:paraId="5B3EC39D" w14:textId="77777777" w:rsidR="00EA0590" w:rsidRPr="006B77E8" w:rsidRDefault="00EA0590" w:rsidP="00D22A91">
            <w:pPr>
              <w:jc w:val="center"/>
              <w:rPr>
                <w:b/>
                <w:sz w:val="18"/>
                <w:szCs w:val="18"/>
                <w:lang w:val="sr-Cyrl-RS"/>
              </w:rPr>
            </w:pPr>
            <w:r w:rsidRPr="006B77E8">
              <w:rPr>
                <w:b/>
                <w:sz w:val="18"/>
                <w:szCs w:val="18"/>
                <w:lang w:val="sr-Cyrl-RS"/>
              </w:rPr>
              <w:t>Р. бр.</w:t>
            </w:r>
          </w:p>
        </w:tc>
        <w:tc>
          <w:tcPr>
            <w:tcW w:w="9178" w:type="dxa"/>
            <w:gridSpan w:val="6"/>
            <w:vAlign w:val="center"/>
          </w:tcPr>
          <w:p w14:paraId="11E339C0" w14:textId="77777777" w:rsidR="00EA0590" w:rsidRPr="006B77E8" w:rsidRDefault="00EA0590" w:rsidP="00D22A91">
            <w:pPr>
              <w:jc w:val="center"/>
              <w:rPr>
                <w:b/>
                <w:sz w:val="18"/>
                <w:szCs w:val="18"/>
                <w:lang w:val="sr-Cyrl-RS"/>
              </w:rPr>
            </w:pPr>
            <w:r w:rsidRPr="006B77E8">
              <w:rPr>
                <w:b/>
                <w:sz w:val="18"/>
                <w:szCs w:val="18"/>
                <w:lang w:val="sr-Cyrl-RS"/>
              </w:rPr>
              <w:t>Аутор-и, наслов, часопис, година, број волумена, странице</w:t>
            </w:r>
          </w:p>
        </w:tc>
        <w:tc>
          <w:tcPr>
            <w:tcW w:w="1061" w:type="dxa"/>
            <w:gridSpan w:val="2"/>
            <w:vAlign w:val="center"/>
          </w:tcPr>
          <w:p w14:paraId="552B3AD0" w14:textId="77777777" w:rsidR="00EA0590" w:rsidRPr="006B77E8" w:rsidRDefault="00EA0590" w:rsidP="00D22A91">
            <w:pPr>
              <w:jc w:val="center"/>
              <w:rPr>
                <w:b/>
                <w:sz w:val="18"/>
                <w:szCs w:val="18"/>
                <w:lang w:val="sr-Cyrl-RS"/>
              </w:rPr>
            </w:pPr>
            <w:r w:rsidRPr="006B77E8">
              <w:rPr>
                <w:b/>
                <w:sz w:val="18"/>
                <w:szCs w:val="18"/>
                <w:lang w:val="sr-Cyrl-RS"/>
              </w:rPr>
              <w:t>Категорија</w:t>
            </w:r>
          </w:p>
        </w:tc>
      </w:tr>
      <w:tr w:rsidR="00EA0590" w:rsidRPr="006B77E8" w14:paraId="0316AAE0" w14:textId="77777777" w:rsidTr="00D22A91">
        <w:trPr>
          <w:trHeight w:val="340"/>
          <w:jc w:val="center"/>
        </w:trPr>
        <w:tc>
          <w:tcPr>
            <w:tcW w:w="547" w:type="dxa"/>
            <w:vMerge w:val="restart"/>
            <w:shd w:val="clear" w:color="auto" w:fill="F3F3F3"/>
            <w:vAlign w:val="center"/>
          </w:tcPr>
          <w:p w14:paraId="1358280C" w14:textId="77777777" w:rsidR="00EA0590" w:rsidRPr="006B77E8" w:rsidRDefault="00EA0590" w:rsidP="00D22A91">
            <w:pPr>
              <w:jc w:val="center"/>
              <w:rPr>
                <w:sz w:val="18"/>
                <w:szCs w:val="18"/>
                <w:lang w:val="sr-Cyrl-RS"/>
              </w:rPr>
            </w:pPr>
            <w:r w:rsidRPr="006B77E8">
              <w:rPr>
                <w:sz w:val="18"/>
                <w:szCs w:val="18"/>
                <w:lang w:val="sr-Cyrl-RS"/>
              </w:rPr>
              <w:t>1</w:t>
            </w:r>
          </w:p>
        </w:tc>
        <w:tc>
          <w:tcPr>
            <w:tcW w:w="9178" w:type="dxa"/>
            <w:gridSpan w:val="6"/>
            <w:vAlign w:val="center"/>
          </w:tcPr>
          <w:p w14:paraId="380514E0" w14:textId="0E5BAA45" w:rsidR="00EA0590" w:rsidRPr="006B77E8" w:rsidRDefault="000A0D69" w:rsidP="00D22A91">
            <w:pPr>
              <w:rPr>
                <w:lang w:val="sr-Cyrl-RS"/>
              </w:rPr>
            </w:pPr>
            <w:r w:rsidRPr="006B77E8">
              <w:rPr>
                <w:color w:val="000000" w:themeColor="text1"/>
                <w:lang w:val="sr-Cyrl-RS"/>
              </w:rPr>
              <w:t xml:space="preserve">Томић, Кристина и </w:t>
            </w:r>
            <w:r w:rsidRPr="006B77E8">
              <w:rPr>
                <w:b/>
                <w:color w:val="000000" w:themeColor="text1"/>
                <w:lang w:val="sr-Cyrl-RS"/>
              </w:rPr>
              <w:t xml:space="preserve">Катарина Миленковић </w:t>
            </w:r>
            <w:r w:rsidRPr="006B77E8">
              <w:rPr>
                <w:color w:val="000000" w:themeColor="text1"/>
                <w:lang w:val="sr-Cyrl-RS"/>
              </w:rPr>
              <w:t xml:space="preserve">(2019). Форензичко профилисање говорника из узорка на енглеском као страном језику – анализа квалитета вокала. </w:t>
            </w:r>
            <w:r w:rsidRPr="006B77E8">
              <w:rPr>
                <w:i/>
                <w:color w:val="000000" w:themeColor="text1"/>
                <w:lang w:val="sr-Cyrl-RS"/>
              </w:rPr>
              <w:t xml:space="preserve">Зборник Матице српске за филологију и лингвистику </w:t>
            </w:r>
            <w:r w:rsidRPr="006B77E8">
              <w:rPr>
                <w:lang w:val="sr-Cyrl-RS"/>
              </w:rPr>
              <w:t xml:space="preserve">62(1): </w:t>
            </w:r>
            <w:r w:rsidRPr="006B77E8">
              <w:rPr>
                <w:color w:val="000000" w:themeColor="text1"/>
                <w:lang w:val="sr-Cyrl-RS"/>
              </w:rPr>
              <w:t>151</w:t>
            </w:r>
            <w:r w:rsidRPr="006B77E8">
              <w:rPr>
                <w:rFonts w:eastAsia="Calibri"/>
                <w:color w:val="000000" w:themeColor="text1"/>
                <w:lang w:val="sr-Cyrl-RS"/>
              </w:rPr>
              <w:t>–</w:t>
            </w:r>
            <w:r w:rsidRPr="006B77E8">
              <w:rPr>
                <w:color w:val="000000" w:themeColor="text1"/>
                <w:lang w:val="sr-Cyrl-RS"/>
              </w:rPr>
              <w:t>171.</w:t>
            </w:r>
          </w:p>
        </w:tc>
        <w:tc>
          <w:tcPr>
            <w:tcW w:w="1061" w:type="dxa"/>
            <w:gridSpan w:val="2"/>
            <w:vMerge w:val="restart"/>
            <w:vAlign w:val="center"/>
          </w:tcPr>
          <w:p w14:paraId="35FE97EA" w14:textId="3C39F7DB" w:rsidR="00EA0590" w:rsidRPr="006B77E8" w:rsidRDefault="00C348AF" w:rsidP="00DB47CA">
            <w:pPr>
              <w:jc w:val="center"/>
              <w:rPr>
                <w:lang w:val="sr-Cyrl-RS"/>
              </w:rPr>
            </w:pPr>
            <w:r w:rsidRPr="006B77E8">
              <w:rPr>
                <w:lang w:val="sr-Cyrl-RS"/>
              </w:rPr>
              <w:t>M24</w:t>
            </w:r>
          </w:p>
        </w:tc>
      </w:tr>
      <w:tr w:rsidR="00EA0590" w:rsidRPr="006B77E8" w14:paraId="0069BF52" w14:textId="77777777" w:rsidTr="00D22A91">
        <w:trPr>
          <w:trHeight w:val="340"/>
          <w:jc w:val="center"/>
        </w:trPr>
        <w:tc>
          <w:tcPr>
            <w:tcW w:w="547" w:type="dxa"/>
            <w:vMerge/>
            <w:shd w:val="clear" w:color="auto" w:fill="F3F3F3"/>
            <w:vAlign w:val="center"/>
          </w:tcPr>
          <w:p w14:paraId="17A61610" w14:textId="77777777" w:rsidR="00EA0590" w:rsidRPr="006B77E8" w:rsidRDefault="00EA0590" w:rsidP="00D22A91">
            <w:pPr>
              <w:jc w:val="center"/>
              <w:rPr>
                <w:sz w:val="18"/>
                <w:szCs w:val="18"/>
                <w:lang w:val="sr-Cyrl-RS"/>
              </w:rPr>
            </w:pPr>
          </w:p>
        </w:tc>
        <w:tc>
          <w:tcPr>
            <w:tcW w:w="9178" w:type="dxa"/>
            <w:gridSpan w:val="6"/>
          </w:tcPr>
          <w:p w14:paraId="59A9309D" w14:textId="646358BE" w:rsidR="00EA0590" w:rsidRPr="00A25CB5" w:rsidRDefault="000A0D69" w:rsidP="00D22A91">
            <w:pPr>
              <w:rPr>
                <w:iCs/>
                <w:color w:val="808080"/>
                <w:lang w:val="sr-Cyrl-RS"/>
              </w:rPr>
            </w:pPr>
            <w:r w:rsidRPr="00A25CB5">
              <w:rPr>
                <w:iCs/>
                <w:color w:val="000000" w:themeColor="text1"/>
                <w:lang w:val="sr-Cyrl-RS"/>
              </w:rPr>
              <w:t>Истраживање испитује квалитет вокала у спонтаном говору код пет говорница нишког и пет говорница новосадског урбаног дијалекта када говоре на српском и енглеском језику, а спроведено је у сврхе усавршавања форензичког профилисања говорника из узорка на страном језику. Резултати указују на то да се највећа разлика уочава код вокала реализованог на месту фонеме /æ/, који је код говорница из Новог Сада видно отворенији него код говорница из Ниша. Вокали реализовани на месту фонема /u:/ и /ʊ/ код говорница из Ниша су подударни, а говорнице из Новог Сада исказују тенденцију да централизују краћи вокал. Добијени резултати могли би да буду корисни за форензичко профилисање говорник и када је спорни узорак на страном и када је на матерњем језику.</w:t>
            </w:r>
          </w:p>
        </w:tc>
        <w:tc>
          <w:tcPr>
            <w:tcW w:w="1061" w:type="dxa"/>
            <w:gridSpan w:val="2"/>
            <w:vMerge/>
            <w:vAlign w:val="center"/>
          </w:tcPr>
          <w:p w14:paraId="4ABAEED8" w14:textId="77777777" w:rsidR="00EA0590" w:rsidRPr="006B77E8" w:rsidRDefault="00EA0590" w:rsidP="00D22A91">
            <w:pPr>
              <w:rPr>
                <w:lang w:val="sr-Cyrl-RS"/>
              </w:rPr>
            </w:pPr>
          </w:p>
        </w:tc>
      </w:tr>
      <w:tr w:rsidR="00EA0590" w:rsidRPr="006B77E8" w14:paraId="556DB747" w14:textId="77777777" w:rsidTr="00D22A91">
        <w:trPr>
          <w:trHeight w:val="340"/>
          <w:jc w:val="center"/>
        </w:trPr>
        <w:tc>
          <w:tcPr>
            <w:tcW w:w="547" w:type="dxa"/>
            <w:vMerge/>
            <w:shd w:val="clear" w:color="auto" w:fill="F3F3F3"/>
            <w:vAlign w:val="center"/>
          </w:tcPr>
          <w:p w14:paraId="73DD6103" w14:textId="77777777" w:rsidR="00EA0590" w:rsidRPr="006B77E8" w:rsidRDefault="00EA0590" w:rsidP="00D22A91">
            <w:pPr>
              <w:jc w:val="center"/>
              <w:rPr>
                <w:sz w:val="18"/>
                <w:szCs w:val="18"/>
                <w:lang w:val="sr-Cyrl-RS"/>
              </w:rPr>
            </w:pPr>
          </w:p>
        </w:tc>
        <w:tc>
          <w:tcPr>
            <w:tcW w:w="5038" w:type="dxa"/>
            <w:gridSpan w:val="3"/>
            <w:vAlign w:val="center"/>
          </w:tcPr>
          <w:p w14:paraId="0EDFA116" w14:textId="77777777" w:rsidR="00EA0590" w:rsidRPr="006B77E8" w:rsidRDefault="00EA0590" w:rsidP="00D22A91">
            <w:pPr>
              <w:rPr>
                <w:sz w:val="18"/>
                <w:szCs w:val="18"/>
                <w:lang w:val="sr-Cyrl-RS"/>
              </w:rPr>
            </w:pPr>
            <w:r w:rsidRPr="006B77E8">
              <w:rPr>
                <w:sz w:val="18"/>
                <w:szCs w:val="18"/>
                <w:lang w:val="sr-Cyrl-RS"/>
              </w:rPr>
              <w:t>Рад припада научној области докторске дисертације</w:t>
            </w:r>
          </w:p>
        </w:tc>
        <w:tc>
          <w:tcPr>
            <w:tcW w:w="720" w:type="dxa"/>
            <w:vAlign w:val="center"/>
          </w:tcPr>
          <w:p w14:paraId="3433878F" w14:textId="77777777" w:rsidR="00EA0590" w:rsidRPr="006B77E8" w:rsidRDefault="00EA0590" w:rsidP="00D22A91">
            <w:pPr>
              <w:jc w:val="center"/>
              <w:rPr>
                <w:sz w:val="18"/>
                <w:szCs w:val="18"/>
                <w:lang w:val="sr-Cyrl-RS"/>
              </w:rPr>
            </w:pPr>
            <w:r w:rsidRPr="006B77E8">
              <w:rPr>
                <w:sz w:val="18"/>
                <w:szCs w:val="18"/>
                <w:lang w:val="sr-Cyrl-RS"/>
              </w:rPr>
              <w:t>ДА</w:t>
            </w:r>
          </w:p>
        </w:tc>
        <w:tc>
          <w:tcPr>
            <w:tcW w:w="900" w:type="dxa"/>
            <w:vAlign w:val="center"/>
          </w:tcPr>
          <w:p w14:paraId="37E44620" w14:textId="77777777" w:rsidR="00EA0590" w:rsidRPr="006B77E8" w:rsidRDefault="00EA0590" w:rsidP="00D22A91">
            <w:pPr>
              <w:jc w:val="center"/>
              <w:rPr>
                <w:sz w:val="18"/>
                <w:szCs w:val="18"/>
                <w:u w:val="single"/>
                <w:lang w:val="sr-Cyrl-RS"/>
              </w:rPr>
            </w:pPr>
            <w:r w:rsidRPr="006B77E8">
              <w:rPr>
                <w:sz w:val="18"/>
                <w:szCs w:val="18"/>
                <w:u w:val="single"/>
                <w:lang w:val="sr-Cyrl-RS"/>
              </w:rPr>
              <w:t>НЕ</w:t>
            </w:r>
          </w:p>
        </w:tc>
        <w:tc>
          <w:tcPr>
            <w:tcW w:w="2520" w:type="dxa"/>
            <w:vAlign w:val="center"/>
          </w:tcPr>
          <w:p w14:paraId="4B6316E9" w14:textId="77777777" w:rsidR="00EA0590" w:rsidRPr="006B77E8" w:rsidRDefault="00EA0590" w:rsidP="00D22A91">
            <w:pPr>
              <w:jc w:val="center"/>
              <w:rPr>
                <w:sz w:val="18"/>
                <w:szCs w:val="18"/>
                <w:lang w:val="sr-Cyrl-RS"/>
              </w:rPr>
            </w:pPr>
            <w:r w:rsidRPr="006B77E8">
              <w:rPr>
                <w:sz w:val="18"/>
                <w:szCs w:val="18"/>
                <w:lang w:val="sr-Cyrl-RS"/>
              </w:rPr>
              <w:t>ДЕЛИМИЧНО</w:t>
            </w:r>
          </w:p>
        </w:tc>
        <w:tc>
          <w:tcPr>
            <w:tcW w:w="1061" w:type="dxa"/>
            <w:gridSpan w:val="2"/>
            <w:vMerge/>
            <w:vAlign w:val="center"/>
          </w:tcPr>
          <w:p w14:paraId="3372C7F4" w14:textId="77777777" w:rsidR="00EA0590" w:rsidRPr="006B77E8" w:rsidRDefault="00EA0590" w:rsidP="00D22A91">
            <w:pPr>
              <w:rPr>
                <w:lang w:val="sr-Cyrl-RS"/>
              </w:rPr>
            </w:pPr>
          </w:p>
        </w:tc>
      </w:tr>
      <w:tr w:rsidR="00EA0590" w:rsidRPr="006B77E8" w14:paraId="16E105D8" w14:textId="77777777" w:rsidTr="00D22A91">
        <w:trPr>
          <w:trHeight w:val="340"/>
          <w:jc w:val="center"/>
        </w:trPr>
        <w:tc>
          <w:tcPr>
            <w:tcW w:w="547" w:type="dxa"/>
            <w:vMerge w:val="restart"/>
            <w:shd w:val="clear" w:color="auto" w:fill="F3F3F3"/>
            <w:vAlign w:val="center"/>
          </w:tcPr>
          <w:p w14:paraId="6D1CFE40" w14:textId="77777777" w:rsidR="00EA0590" w:rsidRPr="006B77E8" w:rsidRDefault="00EA0590" w:rsidP="00D22A91">
            <w:pPr>
              <w:jc w:val="center"/>
              <w:rPr>
                <w:sz w:val="18"/>
                <w:szCs w:val="18"/>
                <w:lang w:val="sr-Cyrl-RS"/>
              </w:rPr>
            </w:pPr>
            <w:r w:rsidRPr="006B77E8">
              <w:rPr>
                <w:sz w:val="18"/>
                <w:szCs w:val="18"/>
                <w:lang w:val="sr-Cyrl-RS"/>
              </w:rPr>
              <w:t>2</w:t>
            </w:r>
          </w:p>
        </w:tc>
        <w:tc>
          <w:tcPr>
            <w:tcW w:w="9178" w:type="dxa"/>
            <w:gridSpan w:val="6"/>
            <w:vAlign w:val="center"/>
          </w:tcPr>
          <w:p w14:paraId="0C52C6D4" w14:textId="4407BC01" w:rsidR="00EA0590" w:rsidRPr="006B77E8" w:rsidRDefault="00C348AF" w:rsidP="00D22A91">
            <w:pPr>
              <w:rPr>
                <w:lang w:val="sr-Cyrl-RS"/>
              </w:rPr>
            </w:pPr>
            <w:r w:rsidRPr="006B77E8">
              <w:rPr>
                <w:lang w:val="sr-Cyrl-RS"/>
              </w:rPr>
              <w:t xml:space="preserve">Стаменковић Душан, </w:t>
            </w:r>
            <w:r w:rsidRPr="006B77E8">
              <w:rPr>
                <w:b/>
                <w:bCs/>
                <w:lang w:val="sr-Cyrl-RS"/>
              </w:rPr>
              <w:t>Катарина Миленковић</w:t>
            </w:r>
            <w:r w:rsidRPr="006B77E8">
              <w:rPr>
                <w:lang w:val="sr-Cyrl-RS"/>
              </w:rPr>
              <w:t xml:space="preserve"> и Јована Динчић (2019). Студија нормирања књижевних и некњижевних метафора из српског језика.</w:t>
            </w:r>
            <w:r w:rsidRPr="006B77E8">
              <w:rPr>
                <w:i/>
                <w:iCs/>
                <w:lang w:val="sr-Cyrl-RS"/>
              </w:rPr>
              <w:t xml:space="preserve"> Зборник Матице српске за филологију и лингвистику</w:t>
            </w:r>
            <w:r w:rsidRPr="006B77E8">
              <w:rPr>
                <w:lang w:val="sr-Cyrl-RS"/>
              </w:rPr>
              <w:t xml:space="preserve"> 62(2): 89–104</w:t>
            </w:r>
          </w:p>
        </w:tc>
        <w:tc>
          <w:tcPr>
            <w:tcW w:w="1061" w:type="dxa"/>
            <w:gridSpan w:val="2"/>
            <w:vMerge w:val="restart"/>
            <w:vAlign w:val="center"/>
          </w:tcPr>
          <w:p w14:paraId="5EA263F1" w14:textId="582EEF7E" w:rsidR="00EA0590" w:rsidRPr="006B77E8" w:rsidRDefault="00C348AF" w:rsidP="00DB47CA">
            <w:pPr>
              <w:jc w:val="center"/>
              <w:rPr>
                <w:lang w:val="sr-Cyrl-RS"/>
              </w:rPr>
            </w:pPr>
            <w:r w:rsidRPr="006B77E8">
              <w:rPr>
                <w:lang w:val="sr-Cyrl-RS"/>
              </w:rPr>
              <w:t>M24</w:t>
            </w:r>
          </w:p>
        </w:tc>
      </w:tr>
      <w:tr w:rsidR="00EA0590" w:rsidRPr="006B77E8" w14:paraId="47087CD6" w14:textId="77777777" w:rsidTr="00D22A91">
        <w:trPr>
          <w:trHeight w:val="340"/>
          <w:jc w:val="center"/>
        </w:trPr>
        <w:tc>
          <w:tcPr>
            <w:tcW w:w="547" w:type="dxa"/>
            <w:vMerge/>
            <w:shd w:val="clear" w:color="auto" w:fill="F3F3F3"/>
            <w:vAlign w:val="center"/>
          </w:tcPr>
          <w:p w14:paraId="51A9FB85" w14:textId="77777777" w:rsidR="00EA0590" w:rsidRPr="006B77E8" w:rsidRDefault="00EA0590" w:rsidP="00D22A91">
            <w:pPr>
              <w:jc w:val="center"/>
              <w:rPr>
                <w:sz w:val="18"/>
                <w:szCs w:val="18"/>
                <w:lang w:val="sr-Cyrl-RS"/>
              </w:rPr>
            </w:pPr>
          </w:p>
        </w:tc>
        <w:tc>
          <w:tcPr>
            <w:tcW w:w="9178" w:type="dxa"/>
            <w:gridSpan w:val="6"/>
          </w:tcPr>
          <w:p w14:paraId="0123052C" w14:textId="7BD4B1A2" w:rsidR="00EA0590" w:rsidRPr="00A25CB5" w:rsidRDefault="00472635" w:rsidP="00D22A91">
            <w:pPr>
              <w:rPr>
                <w:iCs/>
                <w:lang w:val="sr-Cyrl-RS"/>
              </w:rPr>
            </w:pPr>
            <w:r w:rsidRPr="00A25CB5">
              <w:rPr>
                <w:iCs/>
                <w:color w:val="000000" w:themeColor="text1"/>
                <w:lang w:val="sr-Cyrl-RS"/>
              </w:rPr>
              <w:t xml:space="preserve">Истраживање је превасходно усмерено на формирање нормираног корпуса метафора на српском језичку који би био од помоћи истраживачима у будућим психолингвистичким подухватима. У раду се нормира 55 књижевних и 55 некњижевних метафора у облику </w:t>
            </w:r>
            <w:r w:rsidRPr="00A25CB5">
              <w:rPr>
                <w:i/>
                <w:color w:val="000000" w:themeColor="text1"/>
                <w:lang w:val="sr-Cyrl-RS"/>
              </w:rPr>
              <w:t xml:space="preserve">А је Б </w:t>
            </w:r>
            <w:r w:rsidRPr="00A25CB5">
              <w:rPr>
                <w:iCs/>
                <w:color w:val="000000" w:themeColor="text1"/>
                <w:lang w:val="sr-Cyrl-RS"/>
              </w:rPr>
              <w:t>у односу на следеће особине: метафоричност, квалитет, погодност извора да опише циљ, степен познатости, разумљивост, сличност извора циљу и број интерпретација. Уз обезбеђивање нормираног корпуса, анализе показују поуздане скале за сваку од димензија и значајне корелације између њих. Истраживање представља једну од припремних радњи у изради ове докторске дисертације.</w:t>
            </w:r>
          </w:p>
        </w:tc>
        <w:tc>
          <w:tcPr>
            <w:tcW w:w="1061" w:type="dxa"/>
            <w:gridSpan w:val="2"/>
            <w:vMerge/>
            <w:vAlign w:val="center"/>
          </w:tcPr>
          <w:p w14:paraId="378A1305" w14:textId="77777777" w:rsidR="00EA0590" w:rsidRPr="006B77E8" w:rsidRDefault="00EA0590" w:rsidP="00DB47CA">
            <w:pPr>
              <w:jc w:val="center"/>
              <w:rPr>
                <w:lang w:val="sr-Cyrl-RS"/>
              </w:rPr>
            </w:pPr>
          </w:p>
        </w:tc>
      </w:tr>
      <w:tr w:rsidR="00EA0590" w:rsidRPr="006B77E8" w14:paraId="249DF7BF" w14:textId="77777777" w:rsidTr="00D22A91">
        <w:trPr>
          <w:trHeight w:val="340"/>
          <w:jc w:val="center"/>
        </w:trPr>
        <w:tc>
          <w:tcPr>
            <w:tcW w:w="547" w:type="dxa"/>
            <w:vMerge/>
            <w:shd w:val="clear" w:color="auto" w:fill="F3F3F3"/>
            <w:vAlign w:val="center"/>
          </w:tcPr>
          <w:p w14:paraId="2BA9F0C4" w14:textId="77777777" w:rsidR="00EA0590" w:rsidRPr="006B77E8" w:rsidRDefault="00EA0590" w:rsidP="00D22A91">
            <w:pPr>
              <w:jc w:val="center"/>
              <w:rPr>
                <w:sz w:val="18"/>
                <w:szCs w:val="18"/>
                <w:lang w:val="sr-Cyrl-RS"/>
              </w:rPr>
            </w:pPr>
          </w:p>
        </w:tc>
        <w:tc>
          <w:tcPr>
            <w:tcW w:w="5038" w:type="dxa"/>
            <w:gridSpan w:val="3"/>
            <w:vAlign w:val="center"/>
          </w:tcPr>
          <w:p w14:paraId="31864C92" w14:textId="77777777" w:rsidR="00EA0590" w:rsidRPr="006B77E8" w:rsidRDefault="00EA0590" w:rsidP="00D22A91">
            <w:pPr>
              <w:rPr>
                <w:sz w:val="18"/>
                <w:szCs w:val="18"/>
                <w:lang w:val="sr-Cyrl-RS"/>
              </w:rPr>
            </w:pPr>
            <w:r w:rsidRPr="006B77E8">
              <w:rPr>
                <w:sz w:val="18"/>
                <w:szCs w:val="18"/>
                <w:lang w:val="sr-Cyrl-RS"/>
              </w:rPr>
              <w:t>Рад припада научној области докторске дисертације</w:t>
            </w:r>
          </w:p>
        </w:tc>
        <w:tc>
          <w:tcPr>
            <w:tcW w:w="720" w:type="dxa"/>
            <w:vAlign w:val="center"/>
          </w:tcPr>
          <w:p w14:paraId="08344DD1" w14:textId="77777777" w:rsidR="00EA0590" w:rsidRPr="006B77E8" w:rsidRDefault="00EA0590" w:rsidP="00D22A91">
            <w:pPr>
              <w:jc w:val="center"/>
              <w:rPr>
                <w:sz w:val="18"/>
                <w:szCs w:val="18"/>
                <w:u w:val="single"/>
                <w:lang w:val="sr-Cyrl-RS"/>
              </w:rPr>
            </w:pPr>
            <w:r w:rsidRPr="006B77E8">
              <w:rPr>
                <w:sz w:val="18"/>
                <w:szCs w:val="18"/>
                <w:u w:val="single"/>
                <w:lang w:val="sr-Cyrl-RS"/>
              </w:rPr>
              <w:t>ДА</w:t>
            </w:r>
          </w:p>
        </w:tc>
        <w:tc>
          <w:tcPr>
            <w:tcW w:w="900" w:type="dxa"/>
            <w:vAlign w:val="center"/>
          </w:tcPr>
          <w:p w14:paraId="5999F70F" w14:textId="77777777" w:rsidR="00EA0590" w:rsidRPr="006B77E8" w:rsidRDefault="00EA0590" w:rsidP="00D22A91">
            <w:pPr>
              <w:jc w:val="center"/>
              <w:rPr>
                <w:sz w:val="18"/>
                <w:szCs w:val="18"/>
                <w:lang w:val="sr-Cyrl-RS"/>
              </w:rPr>
            </w:pPr>
            <w:r w:rsidRPr="006B77E8">
              <w:rPr>
                <w:sz w:val="18"/>
                <w:szCs w:val="18"/>
                <w:lang w:val="sr-Cyrl-RS"/>
              </w:rPr>
              <w:t>НЕ</w:t>
            </w:r>
          </w:p>
        </w:tc>
        <w:tc>
          <w:tcPr>
            <w:tcW w:w="2520" w:type="dxa"/>
            <w:vAlign w:val="center"/>
          </w:tcPr>
          <w:p w14:paraId="02A7D3C5" w14:textId="77777777" w:rsidR="00EA0590" w:rsidRPr="006B77E8" w:rsidRDefault="00EA0590" w:rsidP="00D22A91">
            <w:pPr>
              <w:jc w:val="center"/>
              <w:rPr>
                <w:sz w:val="18"/>
                <w:szCs w:val="18"/>
                <w:lang w:val="sr-Cyrl-RS"/>
              </w:rPr>
            </w:pPr>
            <w:r w:rsidRPr="006B77E8">
              <w:rPr>
                <w:sz w:val="18"/>
                <w:szCs w:val="18"/>
                <w:lang w:val="sr-Cyrl-RS"/>
              </w:rPr>
              <w:t>ДЕЛИМИЧНО</w:t>
            </w:r>
          </w:p>
        </w:tc>
        <w:tc>
          <w:tcPr>
            <w:tcW w:w="1061" w:type="dxa"/>
            <w:gridSpan w:val="2"/>
            <w:vMerge/>
            <w:vAlign w:val="center"/>
          </w:tcPr>
          <w:p w14:paraId="7B73CD75" w14:textId="77777777" w:rsidR="00EA0590" w:rsidRPr="006B77E8" w:rsidRDefault="00EA0590" w:rsidP="00DB47CA">
            <w:pPr>
              <w:jc w:val="center"/>
              <w:rPr>
                <w:lang w:val="sr-Cyrl-RS"/>
              </w:rPr>
            </w:pPr>
          </w:p>
        </w:tc>
      </w:tr>
      <w:tr w:rsidR="00EA0590" w:rsidRPr="006B77E8" w14:paraId="276420D8" w14:textId="77777777" w:rsidTr="00D22A91">
        <w:trPr>
          <w:trHeight w:val="340"/>
          <w:jc w:val="center"/>
        </w:trPr>
        <w:tc>
          <w:tcPr>
            <w:tcW w:w="547" w:type="dxa"/>
            <w:vMerge w:val="restart"/>
            <w:shd w:val="clear" w:color="auto" w:fill="F3F3F3"/>
            <w:vAlign w:val="center"/>
          </w:tcPr>
          <w:p w14:paraId="5B3616B4" w14:textId="77777777" w:rsidR="00EA0590" w:rsidRPr="006B77E8" w:rsidRDefault="00EA0590" w:rsidP="00D22A91">
            <w:pPr>
              <w:jc w:val="center"/>
              <w:rPr>
                <w:sz w:val="18"/>
                <w:szCs w:val="18"/>
                <w:lang w:val="sr-Cyrl-RS"/>
              </w:rPr>
            </w:pPr>
            <w:r w:rsidRPr="006B77E8">
              <w:rPr>
                <w:sz w:val="18"/>
                <w:szCs w:val="18"/>
                <w:lang w:val="sr-Cyrl-RS"/>
              </w:rPr>
              <w:t>3</w:t>
            </w:r>
          </w:p>
        </w:tc>
        <w:tc>
          <w:tcPr>
            <w:tcW w:w="9178" w:type="dxa"/>
            <w:gridSpan w:val="6"/>
            <w:vAlign w:val="center"/>
          </w:tcPr>
          <w:p w14:paraId="4511D9B2" w14:textId="2061345A" w:rsidR="00EA0590" w:rsidRPr="006B77E8" w:rsidRDefault="00C348AF" w:rsidP="00D22A91">
            <w:pPr>
              <w:rPr>
                <w:lang w:val="sr-Cyrl-RS"/>
              </w:rPr>
            </w:pPr>
            <w:r w:rsidRPr="006B77E8">
              <w:rPr>
                <w:rFonts w:eastAsia="Calibri"/>
                <w:b/>
                <w:color w:val="000000" w:themeColor="text1"/>
                <w:lang w:val="sr-Cyrl-RS"/>
              </w:rPr>
              <w:t>Milenković, Katarina</w:t>
            </w:r>
            <w:r w:rsidRPr="006B77E8">
              <w:rPr>
                <w:rFonts w:eastAsia="Calibri"/>
                <w:color w:val="000000" w:themeColor="text1"/>
                <w:lang w:val="sr-Cyrl-RS"/>
              </w:rPr>
              <w:t xml:space="preserve">, Dušan Stamenković and Vladimir Figar (2016). The role of foreign language learning in metaphor identification: An experimental study. </w:t>
            </w:r>
            <w:r w:rsidRPr="006B77E8">
              <w:rPr>
                <w:rFonts w:eastAsia="Calibri"/>
                <w:i/>
                <w:color w:val="000000" w:themeColor="text1"/>
                <w:lang w:val="sr-Cyrl-RS"/>
              </w:rPr>
              <w:t>Folia Linguistica et Litteraria</w:t>
            </w:r>
            <w:r w:rsidRPr="006B77E8">
              <w:rPr>
                <w:rFonts w:eastAsia="Calibri"/>
                <w:color w:val="000000" w:themeColor="text1"/>
                <w:lang w:val="sr-Cyrl-RS"/>
              </w:rPr>
              <w:t xml:space="preserve">, </w:t>
            </w:r>
            <w:r w:rsidRPr="006B77E8">
              <w:rPr>
                <w:rFonts w:eastAsia="Calibri"/>
                <w:i/>
                <w:color w:val="000000" w:themeColor="text1"/>
                <w:lang w:val="sr-Cyrl-RS"/>
              </w:rPr>
              <w:t>14</w:t>
            </w:r>
            <w:r w:rsidRPr="006B77E8">
              <w:rPr>
                <w:rFonts w:eastAsia="Calibri"/>
                <w:color w:val="000000" w:themeColor="text1"/>
                <w:lang w:val="sr-Cyrl-RS"/>
              </w:rPr>
              <w:t>, 187–207. ISSN 1800-8542 (Print). ISSN 2337-0955 (Online). UDC 811.111’232. Available at:</w:t>
            </w:r>
            <w:r w:rsidRPr="006B77E8">
              <w:rPr>
                <w:color w:val="000000" w:themeColor="text1"/>
                <w:lang w:val="sr-Cyrl-RS"/>
              </w:rPr>
              <w:t xml:space="preserve"> </w:t>
            </w:r>
            <w:r w:rsidRPr="006B77E8">
              <w:rPr>
                <w:rFonts w:eastAsia="Calibri"/>
                <w:color w:val="000000" w:themeColor="text1"/>
                <w:lang w:val="sr-Cyrl-RS"/>
              </w:rPr>
              <w:t>http://www.folia.ac.me/arhiva14.html</w:t>
            </w:r>
          </w:p>
        </w:tc>
        <w:tc>
          <w:tcPr>
            <w:tcW w:w="1061" w:type="dxa"/>
            <w:gridSpan w:val="2"/>
            <w:vMerge w:val="restart"/>
            <w:vAlign w:val="center"/>
          </w:tcPr>
          <w:p w14:paraId="58D9677E" w14:textId="6728BAC1" w:rsidR="00EA0590" w:rsidRPr="006B77E8" w:rsidRDefault="00C348AF" w:rsidP="00DB47CA">
            <w:pPr>
              <w:jc w:val="center"/>
              <w:rPr>
                <w:lang w:val="sr-Cyrl-RS"/>
              </w:rPr>
            </w:pPr>
            <w:r w:rsidRPr="006B77E8">
              <w:rPr>
                <w:lang w:val="sr-Cyrl-RS"/>
              </w:rPr>
              <w:t>M23</w:t>
            </w:r>
          </w:p>
        </w:tc>
      </w:tr>
      <w:tr w:rsidR="00EA0590" w:rsidRPr="006B77E8" w14:paraId="70603875" w14:textId="77777777" w:rsidTr="00D22A91">
        <w:trPr>
          <w:trHeight w:val="340"/>
          <w:jc w:val="center"/>
        </w:trPr>
        <w:tc>
          <w:tcPr>
            <w:tcW w:w="547" w:type="dxa"/>
            <w:vMerge/>
            <w:shd w:val="clear" w:color="auto" w:fill="F3F3F3"/>
            <w:vAlign w:val="center"/>
          </w:tcPr>
          <w:p w14:paraId="474CD0AA" w14:textId="77777777" w:rsidR="00EA0590" w:rsidRPr="006B77E8" w:rsidRDefault="00EA0590" w:rsidP="00D22A91">
            <w:pPr>
              <w:jc w:val="center"/>
              <w:rPr>
                <w:sz w:val="18"/>
                <w:szCs w:val="18"/>
                <w:lang w:val="sr-Cyrl-RS"/>
              </w:rPr>
            </w:pPr>
          </w:p>
        </w:tc>
        <w:tc>
          <w:tcPr>
            <w:tcW w:w="9178" w:type="dxa"/>
            <w:gridSpan w:val="6"/>
          </w:tcPr>
          <w:p w14:paraId="68EDED8F" w14:textId="5FC834F7" w:rsidR="00EA0590" w:rsidRPr="00A25CB5" w:rsidRDefault="00472635" w:rsidP="00D22A91">
            <w:pPr>
              <w:rPr>
                <w:iCs/>
                <w:lang w:val="sr-Cyrl-RS"/>
              </w:rPr>
            </w:pPr>
            <w:r w:rsidRPr="00A25CB5">
              <w:rPr>
                <w:iCs/>
                <w:color w:val="000000" w:themeColor="text1"/>
                <w:lang w:val="sr-Cyrl-RS"/>
              </w:rPr>
              <w:t>Рад испитује способност ученика гимназије и студената англистике да препознају метафору, као и мера у којој су они свесни разлика у процесима препознавања метафоре између два језика и да ли, у случају непрепознавања истих, прибегавају примени знања матерњег језика како би понудили адекватне одговоре. Испитаницима су приказане уједначене дражи, где су они имали задатак да одлуче да ли у датим реченицама има метафоричког садржаја или не. Добијени резултати показују да степен изложености страном језику и директна формална настава представљају значајне факторе за брзо и успешно препознавање метафоре.</w:t>
            </w:r>
          </w:p>
        </w:tc>
        <w:tc>
          <w:tcPr>
            <w:tcW w:w="1061" w:type="dxa"/>
            <w:gridSpan w:val="2"/>
            <w:vMerge/>
            <w:vAlign w:val="center"/>
          </w:tcPr>
          <w:p w14:paraId="0ABF850F" w14:textId="77777777" w:rsidR="00EA0590" w:rsidRPr="006B77E8" w:rsidRDefault="00EA0590" w:rsidP="00DB47CA">
            <w:pPr>
              <w:jc w:val="center"/>
              <w:rPr>
                <w:lang w:val="sr-Cyrl-RS"/>
              </w:rPr>
            </w:pPr>
          </w:p>
        </w:tc>
      </w:tr>
      <w:tr w:rsidR="00EA0590" w:rsidRPr="006B77E8" w14:paraId="1E53CC85" w14:textId="77777777" w:rsidTr="00D22A91">
        <w:trPr>
          <w:trHeight w:val="340"/>
          <w:jc w:val="center"/>
        </w:trPr>
        <w:tc>
          <w:tcPr>
            <w:tcW w:w="547" w:type="dxa"/>
            <w:vMerge/>
            <w:shd w:val="clear" w:color="auto" w:fill="F3F3F3"/>
            <w:vAlign w:val="center"/>
          </w:tcPr>
          <w:p w14:paraId="3662E08F" w14:textId="77777777" w:rsidR="00EA0590" w:rsidRPr="006B77E8" w:rsidRDefault="00EA0590" w:rsidP="00D22A91">
            <w:pPr>
              <w:jc w:val="center"/>
              <w:rPr>
                <w:sz w:val="18"/>
                <w:szCs w:val="18"/>
                <w:lang w:val="sr-Cyrl-RS"/>
              </w:rPr>
            </w:pPr>
          </w:p>
        </w:tc>
        <w:tc>
          <w:tcPr>
            <w:tcW w:w="5038" w:type="dxa"/>
            <w:gridSpan w:val="3"/>
            <w:vAlign w:val="center"/>
          </w:tcPr>
          <w:p w14:paraId="0A4D91C3" w14:textId="77777777" w:rsidR="00EA0590" w:rsidRPr="006B77E8" w:rsidRDefault="00EA0590" w:rsidP="00D22A91">
            <w:pPr>
              <w:rPr>
                <w:sz w:val="18"/>
                <w:szCs w:val="18"/>
                <w:lang w:val="sr-Cyrl-RS"/>
              </w:rPr>
            </w:pPr>
            <w:r w:rsidRPr="006B77E8">
              <w:rPr>
                <w:sz w:val="18"/>
                <w:szCs w:val="18"/>
                <w:lang w:val="sr-Cyrl-RS"/>
              </w:rPr>
              <w:t>Рад припада научној области докторске дисертације</w:t>
            </w:r>
          </w:p>
        </w:tc>
        <w:tc>
          <w:tcPr>
            <w:tcW w:w="720" w:type="dxa"/>
            <w:vAlign w:val="center"/>
          </w:tcPr>
          <w:p w14:paraId="5CDDA813" w14:textId="77777777" w:rsidR="00EA0590" w:rsidRPr="006B77E8" w:rsidRDefault="00EA0590" w:rsidP="00D22A91">
            <w:pPr>
              <w:jc w:val="center"/>
              <w:rPr>
                <w:sz w:val="18"/>
                <w:szCs w:val="18"/>
                <w:u w:val="single"/>
                <w:lang w:val="sr-Cyrl-RS"/>
              </w:rPr>
            </w:pPr>
            <w:r w:rsidRPr="006B77E8">
              <w:rPr>
                <w:sz w:val="18"/>
                <w:szCs w:val="18"/>
                <w:u w:val="single"/>
                <w:lang w:val="sr-Cyrl-RS"/>
              </w:rPr>
              <w:t>ДА</w:t>
            </w:r>
          </w:p>
        </w:tc>
        <w:tc>
          <w:tcPr>
            <w:tcW w:w="900" w:type="dxa"/>
            <w:vAlign w:val="center"/>
          </w:tcPr>
          <w:p w14:paraId="3E85D09F" w14:textId="77777777" w:rsidR="00EA0590" w:rsidRPr="006B77E8" w:rsidRDefault="00EA0590" w:rsidP="00D22A91">
            <w:pPr>
              <w:jc w:val="center"/>
              <w:rPr>
                <w:sz w:val="18"/>
                <w:szCs w:val="18"/>
                <w:lang w:val="sr-Cyrl-RS"/>
              </w:rPr>
            </w:pPr>
            <w:r w:rsidRPr="006B77E8">
              <w:rPr>
                <w:sz w:val="18"/>
                <w:szCs w:val="18"/>
                <w:lang w:val="sr-Cyrl-RS"/>
              </w:rPr>
              <w:t>НЕ</w:t>
            </w:r>
          </w:p>
        </w:tc>
        <w:tc>
          <w:tcPr>
            <w:tcW w:w="2520" w:type="dxa"/>
            <w:vAlign w:val="center"/>
          </w:tcPr>
          <w:p w14:paraId="2EA136EF" w14:textId="77777777" w:rsidR="00EA0590" w:rsidRPr="006B77E8" w:rsidRDefault="00EA0590" w:rsidP="00D22A91">
            <w:pPr>
              <w:jc w:val="center"/>
              <w:rPr>
                <w:sz w:val="18"/>
                <w:szCs w:val="18"/>
                <w:lang w:val="sr-Cyrl-RS"/>
              </w:rPr>
            </w:pPr>
            <w:r w:rsidRPr="006B77E8">
              <w:rPr>
                <w:sz w:val="18"/>
                <w:szCs w:val="18"/>
                <w:lang w:val="sr-Cyrl-RS"/>
              </w:rPr>
              <w:t>ДЕЛИМИЧНО</w:t>
            </w:r>
          </w:p>
        </w:tc>
        <w:tc>
          <w:tcPr>
            <w:tcW w:w="1061" w:type="dxa"/>
            <w:gridSpan w:val="2"/>
            <w:vMerge/>
            <w:vAlign w:val="center"/>
          </w:tcPr>
          <w:p w14:paraId="79C53A20" w14:textId="77777777" w:rsidR="00EA0590" w:rsidRPr="006B77E8" w:rsidRDefault="00EA0590" w:rsidP="00DB47CA">
            <w:pPr>
              <w:jc w:val="center"/>
              <w:rPr>
                <w:lang w:val="sr-Cyrl-RS"/>
              </w:rPr>
            </w:pPr>
          </w:p>
        </w:tc>
      </w:tr>
      <w:tr w:rsidR="00EA0590" w:rsidRPr="006B77E8" w14:paraId="2A6A5E8A" w14:textId="77777777" w:rsidTr="00D22A91">
        <w:trPr>
          <w:trHeight w:val="340"/>
          <w:jc w:val="center"/>
        </w:trPr>
        <w:tc>
          <w:tcPr>
            <w:tcW w:w="547" w:type="dxa"/>
            <w:vMerge w:val="restart"/>
            <w:shd w:val="clear" w:color="auto" w:fill="F3F3F3"/>
            <w:vAlign w:val="center"/>
          </w:tcPr>
          <w:p w14:paraId="0FD9DD91" w14:textId="77777777" w:rsidR="00EA0590" w:rsidRPr="006B77E8" w:rsidRDefault="00EA0590" w:rsidP="00D22A91">
            <w:pPr>
              <w:jc w:val="center"/>
              <w:rPr>
                <w:sz w:val="18"/>
                <w:szCs w:val="18"/>
                <w:lang w:val="sr-Cyrl-RS"/>
              </w:rPr>
            </w:pPr>
            <w:r w:rsidRPr="006B77E8">
              <w:rPr>
                <w:sz w:val="18"/>
                <w:szCs w:val="18"/>
                <w:lang w:val="sr-Cyrl-RS"/>
              </w:rPr>
              <w:t>4</w:t>
            </w:r>
          </w:p>
        </w:tc>
        <w:tc>
          <w:tcPr>
            <w:tcW w:w="9178" w:type="dxa"/>
            <w:gridSpan w:val="6"/>
            <w:vAlign w:val="center"/>
          </w:tcPr>
          <w:p w14:paraId="3415AF96" w14:textId="404ADD86" w:rsidR="00EA0590" w:rsidRPr="006B77E8" w:rsidRDefault="00C348AF" w:rsidP="00D22A91">
            <w:pPr>
              <w:rPr>
                <w:lang w:val="sr-Cyrl-RS"/>
              </w:rPr>
            </w:pPr>
            <w:r w:rsidRPr="006B77E8">
              <w:rPr>
                <w:b/>
                <w:color w:val="000000" w:themeColor="text1"/>
                <w:lang w:val="sr-Cyrl-RS"/>
              </w:rPr>
              <w:t>Milenković, Katarina</w:t>
            </w:r>
            <w:r w:rsidRPr="006B77E8">
              <w:rPr>
                <w:color w:val="000000" w:themeColor="text1"/>
                <w:lang w:val="sr-Cyrl-RS"/>
              </w:rPr>
              <w:t xml:space="preserve"> i Maša Mladenović (2016). Name Symbolism in Harry Potter Book Series. U: Mišić Ilić, Biljana i Vesna Lopičić (ur.). </w:t>
            </w:r>
            <w:r w:rsidRPr="006B77E8">
              <w:rPr>
                <w:i/>
                <w:color w:val="000000" w:themeColor="text1"/>
                <w:lang w:val="sr-Cyrl-RS"/>
              </w:rPr>
              <w:t>Jezik, književnost, značenje – Jezička istraživanja</w:t>
            </w:r>
            <w:r w:rsidRPr="006B77E8">
              <w:rPr>
                <w:color w:val="000000" w:themeColor="text1"/>
                <w:lang w:val="sr-Cyrl-RS"/>
              </w:rPr>
              <w:t>, 637–649. Niš: Filozofski fakultet. ISBN 978-86-7379-409-9. UDC</w:t>
            </w:r>
            <w:r w:rsidR="00DB47CA">
              <w:rPr>
                <w:color w:val="000000" w:themeColor="text1"/>
                <w:lang w:val="sr-Cyrl-RS"/>
              </w:rPr>
              <w:t xml:space="preserve">. </w:t>
            </w:r>
            <w:r w:rsidRPr="006B77E8">
              <w:rPr>
                <w:color w:val="000000" w:themeColor="text1"/>
                <w:lang w:val="sr-Cyrl-RS"/>
              </w:rPr>
              <w:t>811.111’373.23:165.212. COBISS.SR-ID 222937612.</w:t>
            </w:r>
          </w:p>
        </w:tc>
        <w:tc>
          <w:tcPr>
            <w:tcW w:w="1061" w:type="dxa"/>
            <w:gridSpan w:val="2"/>
            <w:vMerge w:val="restart"/>
            <w:vAlign w:val="center"/>
          </w:tcPr>
          <w:p w14:paraId="3EFDD1E7" w14:textId="70F21C76" w:rsidR="00EA0590" w:rsidRPr="006B77E8" w:rsidRDefault="00C348AF" w:rsidP="00DB47CA">
            <w:pPr>
              <w:jc w:val="center"/>
              <w:rPr>
                <w:lang w:val="sr-Cyrl-RS"/>
              </w:rPr>
            </w:pPr>
            <w:r w:rsidRPr="006B77E8">
              <w:rPr>
                <w:lang w:val="sr-Cyrl-RS"/>
              </w:rPr>
              <w:t>M14</w:t>
            </w:r>
          </w:p>
        </w:tc>
      </w:tr>
      <w:tr w:rsidR="00EA0590" w:rsidRPr="006B77E8" w14:paraId="12D4CB75" w14:textId="77777777" w:rsidTr="00D22A91">
        <w:trPr>
          <w:trHeight w:val="340"/>
          <w:jc w:val="center"/>
        </w:trPr>
        <w:tc>
          <w:tcPr>
            <w:tcW w:w="547" w:type="dxa"/>
            <w:vMerge/>
            <w:shd w:val="clear" w:color="auto" w:fill="F3F3F3"/>
            <w:vAlign w:val="center"/>
          </w:tcPr>
          <w:p w14:paraId="4DB9A2E2" w14:textId="77777777" w:rsidR="00EA0590" w:rsidRPr="006B77E8" w:rsidRDefault="00EA0590" w:rsidP="00D22A91">
            <w:pPr>
              <w:jc w:val="center"/>
              <w:rPr>
                <w:sz w:val="18"/>
                <w:szCs w:val="18"/>
                <w:lang w:val="sr-Cyrl-RS"/>
              </w:rPr>
            </w:pPr>
          </w:p>
        </w:tc>
        <w:tc>
          <w:tcPr>
            <w:tcW w:w="9178" w:type="dxa"/>
            <w:gridSpan w:val="6"/>
          </w:tcPr>
          <w:p w14:paraId="65AA8E44" w14:textId="0FA414C6" w:rsidR="00EA0590" w:rsidRPr="00A25CB5" w:rsidRDefault="006B77E8" w:rsidP="00D22A91">
            <w:pPr>
              <w:rPr>
                <w:iCs/>
                <w:lang w:val="sr-Cyrl-RS"/>
              </w:rPr>
            </w:pPr>
            <w:r w:rsidRPr="00A25CB5">
              <w:rPr>
                <w:iCs/>
                <w:color w:val="000000" w:themeColor="text1"/>
                <w:lang w:val="sr-Cyrl-RS"/>
              </w:rPr>
              <w:t>У раду се проучава симболика властитих имена у романима о Харију Потеру ауторке Џ. К. Роулинг како би се утврдило да ли се сврха система именовања огледа у енциклопедијском знању повезаном са датим именима, а резултати показују да властита имена у овој серији романа постају симболи уколико се особине првобитних референата који су некада били носиоци истих пребаце на њих. Резултати укључују анализу имена библијских, књижевних и митолошких ликова и створења.</w:t>
            </w:r>
          </w:p>
        </w:tc>
        <w:tc>
          <w:tcPr>
            <w:tcW w:w="1061" w:type="dxa"/>
            <w:gridSpan w:val="2"/>
            <w:vMerge/>
            <w:vAlign w:val="center"/>
          </w:tcPr>
          <w:p w14:paraId="5B20C28F" w14:textId="77777777" w:rsidR="00EA0590" w:rsidRPr="006B77E8" w:rsidRDefault="00EA0590" w:rsidP="00DB47CA">
            <w:pPr>
              <w:jc w:val="center"/>
              <w:rPr>
                <w:lang w:val="sr-Cyrl-RS"/>
              </w:rPr>
            </w:pPr>
          </w:p>
        </w:tc>
      </w:tr>
      <w:tr w:rsidR="00EA0590" w:rsidRPr="006B77E8" w14:paraId="1F1A6BEE" w14:textId="77777777" w:rsidTr="00D22A91">
        <w:trPr>
          <w:trHeight w:val="340"/>
          <w:jc w:val="center"/>
        </w:trPr>
        <w:tc>
          <w:tcPr>
            <w:tcW w:w="547" w:type="dxa"/>
            <w:vMerge/>
            <w:shd w:val="clear" w:color="auto" w:fill="F3F3F3"/>
            <w:vAlign w:val="center"/>
          </w:tcPr>
          <w:p w14:paraId="088E0360" w14:textId="77777777" w:rsidR="00EA0590" w:rsidRPr="006B77E8" w:rsidRDefault="00EA0590" w:rsidP="00D22A91">
            <w:pPr>
              <w:jc w:val="center"/>
              <w:rPr>
                <w:sz w:val="18"/>
                <w:szCs w:val="18"/>
                <w:lang w:val="sr-Cyrl-RS"/>
              </w:rPr>
            </w:pPr>
          </w:p>
        </w:tc>
        <w:tc>
          <w:tcPr>
            <w:tcW w:w="5038" w:type="dxa"/>
            <w:gridSpan w:val="3"/>
            <w:vAlign w:val="center"/>
          </w:tcPr>
          <w:p w14:paraId="4B24325F" w14:textId="77777777" w:rsidR="00EA0590" w:rsidRPr="006B77E8" w:rsidRDefault="00EA0590" w:rsidP="00D22A91">
            <w:pPr>
              <w:rPr>
                <w:sz w:val="18"/>
                <w:szCs w:val="18"/>
                <w:lang w:val="sr-Cyrl-RS"/>
              </w:rPr>
            </w:pPr>
            <w:r w:rsidRPr="006B77E8">
              <w:rPr>
                <w:sz w:val="18"/>
                <w:szCs w:val="18"/>
                <w:lang w:val="sr-Cyrl-RS"/>
              </w:rPr>
              <w:t>Рад припада научној области докторске дисертације</w:t>
            </w:r>
          </w:p>
        </w:tc>
        <w:tc>
          <w:tcPr>
            <w:tcW w:w="720" w:type="dxa"/>
            <w:vAlign w:val="center"/>
          </w:tcPr>
          <w:p w14:paraId="46AD3EB4" w14:textId="77777777" w:rsidR="00EA0590" w:rsidRPr="006B77E8" w:rsidRDefault="00EA0590" w:rsidP="00D22A91">
            <w:pPr>
              <w:jc w:val="center"/>
              <w:rPr>
                <w:sz w:val="18"/>
                <w:szCs w:val="18"/>
                <w:lang w:val="sr-Cyrl-RS"/>
              </w:rPr>
            </w:pPr>
            <w:r w:rsidRPr="006B77E8">
              <w:rPr>
                <w:sz w:val="18"/>
                <w:szCs w:val="18"/>
                <w:lang w:val="sr-Cyrl-RS"/>
              </w:rPr>
              <w:t>ДА</w:t>
            </w:r>
          </w:p>
        </w:tc>
        <w:tc>
          <w:tcPr>
            <w:tcW w:w="900" w:type="dxa"/>
            <w:vAlign w:val="center"/>
          </w:tcPr>
          <w:p w14:paraId="7F4B5135" w14:textId="77777777" w:rsidR="00EA0590" w:rsidRPr="006B77E8" w:rsidRDefault="00EA0590" w:rsidP="00D22A91">
            <w:pPr>
              <w:jc w:val="center"/>
              <w:rPr>
                <w:sz w:val="18"/>
                <w:szCs w:val="18"/>
                <w:u w:val="single"/>
                <w:lang w:val="sr-Cyrl-RS"/>
              </w:rPr>
            </w:pPr>
            <w:r w:rsidRPr="006B77E8">
              <w:rPr>
                <w:sz w:val="18"/>
                <w:szCs w:val="18"/>
                <w:u w:val="single"/>
                <w:lang w:val="sr-Cyrl-RS"/>
              </w:rPr>
              <w:t>НЕ</w:t>
            </w:r>
          </w:p>
        </w:tc>
        <w:tc>
          <w:tcPr>
            <w:tcW w:w="2520" w:type="dxa"/>
            <w:vAlign w:val="center"/>
          </w:tcPr>
          <w:p w14:paraId="07776BF2" w14:textId="77777777" w:rsidR="00EA0590" w:rsidRPr="006B77E8" w:rsidRDefault="00EA0590" w:rsidP="00D22A91">
            <w:pPr>
              <w:jc w:val="center"/>
              <w:rPr>
                <w:sz w:val="18"/>
                <w:szCs w:val="18"/>
                <w:lang w:val="sr-Cyrl-RS"/>
              </w:rPr>
            </w:pPr>
            <w:r w:rsidRPr="006B77E8">
              <w:rPr>
                <w:sz w:val="18"/>
                <w:szCs w:val="18"/>
                <w:lang w:val="sr-Cyrl-RS"/>
              </w:rPr>
              <w:t>ДЕЛИМИЧНО</w:t>
            </w:r>
          </w:p>
        </w:tc>
        <w:tc>
          <w:tcPr>
            <w:tcW w:w="1061" w:type="dxa"/>
            <w:gridSpan w:val="2"/>
            <w:vMerge/>
            <w:vAlign w:val="center"/>
          </w:tcPr>
          <w:p w14:paraId="0B74E8FA" w14:textId="77777777" w:rsidR="00EA0590" w:rsidRPr="006B77E8" w:rsidRDefault="00EA0590" w:rsidP="00DB47CA">
            <w:pPr>
              <w:jc w:val="center"/>
              <w:rPr>
                <w:lang w:val="sr-Cyrl-RS"/>
              </w:rPr>
            </w:pPr>
          </w:p>
        </w:tc>
      </w:tr>
      <w:tr w:rsidR="00EA0590" w:rsidRPr="006B77E8" w14:paraId="0500B075" w14:textId="77777777" w:rsidTr="00D22A91">
        <w:trPr>
          <w:trHeight w:val="340"/>
          <w:jc w:val="center"/>
        </w:trPr>
        <w:tc>
          <w:tcPr>
            <w:tcW w:w="547" w:type="dxa"/>
            <w:vMerge w:val="restart"/>
            <w:shd w:val="clear" w:color="auto" w:fill="F3F3F3"/>
            <w:vAlign w:val="center"/>
          </w:tcPr>
          <w:p w14:paraId="53AB4A46" w14:textId="77777777" w:rsidR="00EA0590" w:rsidRPr="006B77E8" w:rsidRDefault="00EA0590" w:rsidP="00D22A91">
            <w:pPr>
              <w:jc w:val="center"/>
              <w:rPr>
                <w:sz w:val="18"/>
                <w:szCs w:val="18"/>
                <w:lang w:val="sr-Cyrl-RS"/>
              </w:rPr>
            </w:pPr>
            <w:r w:rsidRPr="006B77E8">
              <w:rPr>
                <w:sz w:val="18"/>
                <w:szCs w:val="18"/>
                <w:lang w:val="sr-Cyrl-RS"/>
              </w:rPr>
              <w:t>5</w:t>
            </w:r>
          </w:p>
        </w:tc>
        <w:tc>
          <w:tcPr>
            <w:tcW w:w="9178" w:type="dxa"/>
            <w:gridSpan w:val="6"/>
            <w:vAlign w:val="center"/>
          </w:tcPr>
          <w:p w14:paraId="6D4D3DD6" w14:textId="34381688" w:rsidR="00EA0590" w:rsidRPr="006B77E8" w:rsidRDefault="00C348AF" w:rsidP="00D22A91">
            <w:pPr>
              <w:rPr>
                <w:lang w:val="sr-Cyrl-RS"/>
              </w:rPr>
            </w:pPr>
            <w:r w:rsidRPr="006B77E8">
              <w:rPr>
                <w:b/>
                <w:color w:val="000000" w:themeColor="text1"/>
                <w:lang w:val="sr-Cyrl-RS"/>
              </w:rPr>
              <w:t>Milenković, Katarina</w:t>
            </w:r>
            <w:r w:rsidRPr="006B77E8">
              <w:rPr>
                <w:color w:val="000000" w:themeColor="text1"/>
                <w:lang w:val="sr-Cyrl-RS"/>
              </w:rPr>
              <w:t xml:space="preserve"> i Dušan Stamenković (2018). Kontrastivno sagledavanje rečničkog značenja pojmova vezanih za primarne boje u srpskom i engleskom jeziku. </w:t>
            </w:r>
            <w:r w:rsidRPr="006B77E8">
              <w:rPr>
                <w:i/>
                <w:color w:val="000000" w:themeColor="text1"/>
                <w:lang w:val="sr-Cyrl-RS"/>
              </w:rPr>
              <w:t>Filolog</w:t>
            </w:r>
            <w:r w:rsidRPr="006B77E8">
              <w:rPr>
                <w:color w:val="000000" w:themeColor="text1"/>
                <w:lang w:val="sr-Cyrl-RS"/>
              </w:rPr>
              <w:t xml:space="preserve">, </w:t>
            </w:r>
            <w:r w:rsidRPr="006B77E8">
              <w:rPr>
                <w:i/>
                <w:color w:val="000000" w:themeColor="text1"/>
                <w:lang w:val="sr-Cyrl-RS"/>
              </w:rPr>
              <w:t>18</w:t>
            </w:r>
            <w:r w:rsidRPr="006B77E8">
              <w:rPr>
                <w:color w:val="000000" w:themeColor="text1"/>
                <w:lang w:val="sr-Cyrl-RS"/>
              </w:rPr>
              <w:t>, 114–138.</w:t>
            </w:r>
          </w:p>
        </w:tc>
        <w:tc>
          <w:tcPr>
            <w:tcW w:w="1061" w:type="dxa"/>
            <w:gridSpan w:val="2"/>
            <w:vMerge w:val="restart"/>
            <w:vAlign w:val="center"/>
          </w:tcPr>
          <w:p w14:paraId="474A35D9" w14:textId="7C2D33F4" w:rsidR="00EA0590" w:rsidRPr="006B77E8" w:rsidRDefault="00C348AF" w:rsidP="00DB47CA">
            <w:pPr>
              <w:jc w:val="center"/>
              <w:rPr>
                <w:lang w:val="sr-Cyrl-RS"/>
              </w:rPr>
            </w:pPr>
            <w:r w:rsidRPr="006B77E8">
              <w:rPr>
                <w:lang w:val="sr-Cyrl-RS"/>
              </w:rPr>
              <w:t>M51</w:t>
            </w:r>
          </w:p>
        </w:tc>
      </w:tr>
      <w:tr w:rsidR="00EA0590" w:rsidRPr="006B77E8" w14:paraId="2E5150C7" w14:textId="77777777" w:rsidTr="00D22A91">
        <w:trPr>
          <w:trHeight w:val="340"/>
          <w:jc w:val="center"/>
        </w:trPr>
        <w:tc>
          <w:tcPr>
            <w:tcW w:w="547" w:type="dxa"/>
            <w:vMerge/>
            <w:shd w:val="clear" w:color="auto" w:fill="F3F3F3"/>
            <w:vAlign w:val="center"/>
          </w:tcPr>
          <w:p w14:paraId="067E3E31" w14:textId="77777777" w:rsidR="00EA0590" w:rsidRPr="006B77E8" w:rsidRDefault="00EA0590" w:rsidP="00D22A91">
            <w:pPr>
              <w:rPr>
                <w:sz w:val="18"/>
                <w:szCs w:val="18"/>
                <w:lang w:val="sr-Cyrl-RS"/>
              </w:rPr>
            </w:pPr>
          </w:p>
        </w:tc>
        <w:tc>
          <w:tcPr>
            <w:tcW w:w="9178" w:type="dxa"/>
            <w:gridSpan w:val="6"/>
          </w:tcPr>
          <w:p w14:paraId="34248E6E" w14:textId="098C7A46" w:rsidR="00EA0590" w:rsidRPr="00A25CB5" w:rsidRDefault="006B77E8" w:rsidP="00D22A91">
            <w:pPr>
              <w:rPr>
                <w:iCs/>
                <w:lang w:val="sr-Cyrl-RS"/>
              </w:rPr>
            </w:pPr>
            <w:r w:rsidRPr="00A25CB5">
              <w:rPr>
                <w:iCs/>
                <w:color w:val="000000" w:themeColor="text1"/>
                <w:lang w:val="sr-Cyrl-RS"/>
              </w:rPr>
              <w:t xml:space="preserve">Рад истражује дословна и метафоричка значења појмова везаних за примарне боје (црвену, плаву и жуту) у енглеском и српском језику и утврђује да ли се међу њима и у којој мери могу успоставити односи кореспонденције или еквиваленције. Ради се о истраживању рађеном на корпусу који се састоји од два општа речника. У зависности од семантичког поља са којима су лексеме са називима боја повезане, рад нуди преглед значењских категорија у оба језика: флора, фауна и биолошки аспекти, физичке карактеристике, емотивна стања и понашање, политика, </w:t>
            </w:r>
            <w:r w:rsidRPr="00A25CB5">
              <w:rPr>
                <w:iCs/>
                <w:color w:val="000000" w:themeColor="text1"/>
                <w:lang w:val="sr-Cyrl-RS"/>
              </w:rPr>
              <w:lastRenderedPageBreak/>
              <w:t>организације и групе и остало. Уз специфичности и изузетке, аутори налазе одређени степен значењског преклапања у два језика.</w:t>
            </w:r>
          </w:p>
        </w:tc>
        <w:tc>
          <w:tcPr>
            <w:tcW w:w="1061" w:type="dxa"/>
            <w:gridSpan w:val="2"/>
            <w:vMerge/>
            <w:vAlign w:val="center"/>
          </w:tcPr>
          <w:p w14:paraId="7978E760" w14:textId="77777777" w:rsidR="00EA0590" w:rsidRPr="006B77E8" w:rsidRDefault="00EA0590" w:rsidP="00D22A91">
            <w:pPr>
              <w:rPr>
                <w:lang w:val="sr-Cyrl-RS"/>
              </w:rPr>
            </w:pPr>
          </w:p>
        </w:tc>
      </w:tr>
      <w:tr w:rsidR="00EA0590" w:rsidRPr="006B77E8" w14:paraId="6BDF2B58" w14:textId="77777777" w:rsidTr="00D22A91">
        <w:trPr>
          <w:trHeight w:val="340"/>
          <w:jc w:val="center"/>
        </w:trPr>
        <w:tc>
          <w:tcPr>
            <w:tcW w:w="547" w:type="dxa"/>
            <w:vMerge/>
            <w:shd w:val="clear" w:color="auto" w:fill="F3F3F3"/>
            <w:vAlign w:val="center"/>
          </w:tcPr>
          <w:p w14:paraId="0094A25C" w14:textId="77777777" w:rsidR="00EA0590" w:rsidRPr="006B77E8" w:rsidRDefault="00EA0590" w:rsidP="00D22A91">
            <w:pPr>
              <w:rPr>
                <w:sz w:val="18"/>
                <w:szCs w:val="18"/>
                <w:lang w:val="sr-Cyrl-RS"/>
              </w:rPr>
            </w:pPr>
          </w:p>
        </w:tc>
        <w:tc>
          <w:tcPr>
            <w:tcW w:w="5038" w:type="dxa"/>
            <w:gridSpan w:val="3"/>
            <w:vAlign w:val="center"/>
          </w:tcPr>
          <w:p w14:paraId="61256283" w14:textId="77777777" w:rsidR="00EA0590" w:rsidRPr="006B77E8" w:rsidRDefault="00EA0590" w:rsidP="00D22A91">
            <w:pPr>
              <w:rPr>
                <w:sz w:val="18"/>
                <w:szCs w:val="18"/>
                <w:lang w:val="sr-Cyrl-RS"/>
              </w:rPr>
            </w:pPr>
            <w:r w:rsidRPr="006B77E8">
              <w:rPr>
                <w:sz w:val="18"/>
                <w:szCs w:val="18"/>
                <w:lang w:val="sr-Cyrl-RS"/>
              </w:rPr>
              <w:t>Рад припада научној области докторске дисертације</w:t>
            </w:r>
          </w:p>
        </w:tc>
        <w:tc>
          <w:tcPr>
            <w:tcW w:w="720" w:type="dxa"/>
            <w:vAlign w:val="center"/>
          </w:tcPr>
          <w:p w14:paraId="7241132E" w14:textId="77777777" w:rsidR="00EA0590" w:rsidRPr="006B77E8" w:rsidRDefault="00EA0590" w:rsidP="00D22A91">
            <w:pPr>
              <w:jc w:val="center"/>
              <w:rPr>
                <w:sz w:val="18"/>
                <w:szCs w:val="18"/>
                <w:lang w:val="sr-Cyrl-RS"/>
              </w:rPr>
            </w:pPr>
            <w:r w:rsidRPr="006B77E8">
              <w:rPr>
                <w:sz w:val="18"/>
                <w:szCs w:val="18"/>
                <w:lang w:val="sr-Cyrl-RS"/>
              </w:rPr>
              <w:t>ДА</w:t>
            </w:r>
          </w:p>
        </w:tc>
        <w:tc>
          <w:tcPr>
            <w:tcW w:w="900" w:type="dxa"/>
            <w:vAlign w:val="center"/>
          </w:tcPr>
          <w:p w14:paraId="4589BDFA" w14:textId="77777777" w:rsidR="00EA0590" w:rsidRPr="006B77E8" w:rsidRDefault="00EA0590" w:rsidP="00D22A91">
            <w:pPr>
              <w:jc w:val="center"/>
              <w:rPr>
                <w:sz w:val="18"/>
                <w:szCs w:val="18"/>
                <w:lang w:val="sr-Cyrl-RS"/>
              </w:rPr>
            </w:pPr>
            <w:r w:rsidRPr="006B77E8">
              <w:rPr>
                <w:sz w:val="18"/>
                <w:szCs w:val="18"/>
                <w:lang w:val="sr-Cyrl-RS"/>
              </w:rPr>
              <w:t>НЕ</w:t>
            </w:r>
          </w:p>
        </w:tc>
        <w:tc>
          <w:tcPr>
            <w:tcW w:w="2520" w:type="dxa"/>
            <w:vAlign w:val="center"/>
          </w:tcPr>
          <w:p w14:paraId="5049F9CF" w14:textId="77777777" w:rsidR="00EA0590" w:rsidRPr="006B77E8" w:rsidRDefault="00EA0590" w:rsidP="00D22A91">
            <w:pPr>
              <w:jc w:val="center"/>
              <w:rPr>
                <w:sz w:val="18"/>
                <w:szCs w:val="18"/>
                <w:u w:val="single"/>
                <w:lang w:val="sr-Cyrl-RS"/>
              </w:rPr>
            </w:pPr>
            <w:r w:rsidRPr="006B77E8">
              <w:rPr>
                <w:sz w:val="18"/>
                <w:szCs w:val="18"/>
                <w:u w:val="single"/>
                <w:lang w:val="sr-Cyrl-RS"/>
              </w:rPr>
              <w:t>ДЕЛИМИЧНО</w:t>
            </w:r>
          </w:p>
        </w:tc>
        <w:tc>
          <w:tcPr>
            <w:tcW w:w="1061" w:type="dxa"/>
            <w:gridSpan w:val="2"/>
            <w:vMerge/>
            <w:vAlign w:val="center"/>
          </w:tcPr>
          <w:p w14:paraId="410159CF" w14:textId="77777777" w:rsidR="00EA0590" w:rsidRPr="006B77E8" w:rsidRDefault="00EA0590" w:rsidP="00D22A91">
            <w:pPr>
              <w:rPr>
                <w:lang w:val="sr-Cyrl-RS"/>
              </w:rPr>
            </w:pPr>
          </w:p>
        </w:tc>
      </w:tr>
      <w:tr w:rsidR="00C5301B" w:rsidRPr="006B77E8" w14:paraId="04CD68E3" w14:textId="77777777" w:rsidTr="00030559">
        <w:trPr>
          <w:trHeight w:val="340"/>
          <w:jc w:val="center"/>
        </w:trPr>
        <w:tc>
          <w:tcPr>
            <w:tcW w:w="547" w:type="dxa"/>
            <w:vMerge w:val="restart"/>
            <w:shd w:val="clear" w:color="auto" w:fill="F3F3F3"/>
            <w:vAlign w:val="center"/>
          </w:tcPr>
          <w:p w14:paraId="67FDA4AF" w14:textId="1028C751" w:rsidR="00C5301B" w:rsidRPr="00C5301B" w:rsidRDefault="00C5301B" w:rsidP="00C5301B">
            <w:pPr>
              <w:jc w:val="center"/>
              <w:rPr>
                <w:sz w:val="18"/>
                <w:szCs w:val="18"/>
                <w:lang w:val="sr-Latn-RS"/>
              </w:rPr>
            </w:pPr>
            <w:r>
              <w:rPr>
                <w:sz w:val="18"/>
                <w:szCs w:val="18"/>
                <w:lang w:val="sr-Latn-RS"/>
              </w:rPr>
              <w:t>6</w:t>
            </w:r>
          </w:p>
        </w:tc>
        <w:tc>
          <w:tcPr>
            <w:tcW w:w="9178" w:type="dxa"/>
            <w:gridSpan w:val="6"/>
            <w:vAlign w:val="center"/>
          </w:tcPr>
          <w:p w14:paraId="68888094" w14:textId="45BDDB6A" w:rsidR="00C5301B" w:rsidRPr="006B77E8" w:rsidRDefault="00C5301B" w:rsidP="00C5301B">
            <w:pPr>
              <w:jc w:val="left"/>
              <w:rPr>
                <w:sz w:val="18"/>
                <w:szCs w:val="18"/>
                <w:u w:val="single"/>
                <w:lang w:val="sr-Cyrl-RS"/>
              </w:rPr>
            </w:pPr>
            <w:r w:rsidRPr="001A0C0F">
              <w:rPr>
                <w:rFonts w:eastAsia="Calibri"/>
                <w:b/>
                <w:color w:val="000000" w:themeColor="text1"/>
                <w:lang w:val="sr-Cyrl-RS"/>
              </w:rPr>
              <w:t>Milenković, K</w:t>
            </w:r>
            <w:r w:rsidRPr="001A0C0F">
              <w:rPr>
                <w:rFonts w:eastAsia="Calibri"/>
                <w:b/>
                <w:color w:val="000000" w:themeColor="text1"/>
                <w:lang w:val="en-GB"/>
              </w:rPr>
              <w:t>atarina</w:t>
            </w:r>
            <w:r>
              <w:rPr>
                <w:rFonts w:eastAsia="Calibri"/>
                <w:color w:val="000000" w:themeColor="text1"/>
                <w:lang w:val="sr-Latn-RS"/>
              </w:rPr>
              <w:t xml:space="preserve">. </w:t>
            </w:r>
            <w:r w:rsidRPr="001A0C0F">
              <w:rPr>
                <w:rFonts w:eastAsia="Calibri"/>
                <w:color w:val="000000" w:themeColor="text1"/>
                <w:lang w:val="sr-Cyrl-RS"/>
              </w:rPr>
              <w:t xml:space="preserve">Euphemistic Expressions in Barack Obama’s Warfare Political Speeches </w:t>
            </w:r>
            <w:r w:rsidRPr="00C5301B">
              <w:rPr>
                <w:rFonts w:eastAsia="Calibri"/>
                <w:color w:val="000000" w:themeColor="text1"/>
                <w:sz w:val="20"/>
                <w:szCs w:val="20"/>
                <w:lang w:val="sr-Cyrl-RS"/>
              </w:rPr>
              <w:t xml:space="preserve">(Рад је прихваћен за објављивање у Зборнику радова са скупа СТУДКОН 3, </w:t>
            </w:r>
            <w:r w:rsidRPr="00C5301B">
              <w:rPr>
                <w:rFonts w:eastAsia="Calibri"/>
                <w:color w:val="000000" w:themeColor="text1"/>
                <w:sz w:val="20"/>
                <w:szCs w:val="20"/>
                <w:lang w:val="sr-Latn-RS"/>
              </w:rPr>
              <w:t xml:space="preserve">у припреми за штампу, </w:t>
            </w:r>
            <w:r w:rsidRPr="00C5301B">
              <w:rPr>
                <w:rFonts w:eastAsia="Calibri"/>
                <w:color w:val="000000" w:themeColor="text1"/>
                <w:sz w:val="20"/>
                <w:szCs w:val="20"/>
                <w:lang w:val="sr-Cyrl-RS"/>
              </w:rPr>
              <w:t>а потврд</w:t>
            </w:r>
            <w:r w:rsidRPr="00C5301B">
              <w:rPr>
                <w:rFonts w:eastAsia="Calibri"/>
                <w:color w:val="000000" w:themeColor="text1"/>
                <w:sz w:val="20"/>
                <w:szCs w:val="20"/>
                <w:lang w:val="sr-Latn-RS"/>
              </w:rPr>
              <w:t>а</w:t>
            </w:r>
            <w:r w:rsidRPr="00C5301B">
              <w:rPr>
                <w:rFonts w:eastAsia="Calibri"/>
                <w:color w:val="000000" w:themeColor="text1"/>
                <w:sz w:val="20"/>
                <w:szCs w:val="20"/>
                <w:lang w:val="sr-Cyrl-RS"/>
              </w:rPr>
              <w:t xml:space="preserve"> </w:t>
            </w:r>
            <w:r w:rsidRPr="00C5301B">
              <w:rPr>
                <w:rFonts w:eastAsia="Calibri"/>
                <w:color w:val="000000" w:themeColor="text1"/>
                <w:sz w:val="20"/>
                <w:szCs w:val="20"/>
                <w:lang w:val="en-GB"/>
              </w:rPr>
              <w:t>о</w:t>
            </w:r>
            <w:r w:rsidRPr="00C5301B">
              <w:rPr>
                <w:rFonts w:eastAsia="Calibri"/>
                <w:color w:val="000000" w:themeColor="text1"/>
                <w:sz w:val="20"/>
                <w:szCs w:val="20"/>
                <w:lang w:val="sr-Cyrl-RS"/>
              </w:rPr>
              <w:t xml:space="preserve"> </w:t>
            </w:r>
            <w:r w:rsidRPr="00C5301B">
              <w:rPr>
                <w:rFonts w:eastAsia="Calibri"/>
                <w:color w:val="000000" w:themeColor="text1"/>
                <w:sz w:val="20"/>
                <w:szCs w:val="20"/>
                <w:lang w:val="en-GB"/>
              </w:rPr>
              <w:t>прихватању</w:t>
            </w:r>
            <w:r w:rsidRPr="00C5301B">
              <w:rPr>
                <w:rFonts w:eastAsia="Calibri"/>
                <w:color w:val="000000" w:themeColor="text1"/>
                <w:sz w:val="20"/>
                <w:szCs w:val="20"/>
                <w:lang w:val="sr-Cyrl-RS"/>
              </w:rPr>
              <w:t xml:space="preserve"> </w:t>
            </w:r>
            <w:r w:rsidRPr="00C5301B">
              <w:rPr>
                <w:rFonts w:eastAsia="Calibri"/>
                <w:color w:val="000000" w:themeColor="text1"/>
                <w:sz w:val="20"/>
                <w:szCs w:val="20"/>
                <w:lang w:val="en-GB"/>
              </w:rPr>
              <w:t>рада</w:t>
            </w:r>
            <w:r w:rsidRPr="00C5301B">
              <w:rPr>
                <w:rFonts w:eastAsia="Calibri"/>
                <w:color w:val="000000" w:themeColor="text1"/>
                <w:sz w:val="20"/>
                <w:szCs w:val="20"/>
                <w:lang w:val="sr-Cyrl-RS"/>
              </w:rPr>
              <w:t xml:space="preserve"> </w:t>
            </w:r>
            <w:r w:rsidRPr="00C5301B">
              <w:rPr>
                <w:rFonts w:eastAsia="Calibri"/>
                <w:color w:val="000000" w:themeColor="text1"/>
                <w:sz w:val="20"/>
                <w:szCs w:val="20"/>
                <w:lang w:val="sr-Latn-RS"/>
              </w:rPr>
              <w:t>је приложена уз пријаву</w:t>
            </w:r>
            <w:r w:rsidRPr="00C5301B">
              <w:rPr>
                <w:rFonts w:eastAsia="Calibri"/>
                <w:color w:val="000000" w:themeColor="text1"/>
                <w:sz w:val="20"/>
                <w:szCs w:val="20"/>
                <w:lang w:val="sr-Cyrl-RS"/>
              </w:rPr>
              <w:t>).</w:t>
            </w:r>
          </w:p>
        </w:tc>
        <w:tc>
          <w:tcPr>
            <w:tcW w:w="1061" w:type="dxa"/>
            <w:gridSpan w:val="2"/>
            <w:vMerge w:val="restart"/>
            <w:vAlign w:val="center"/>
          </w:tcPr>
          <w:p w14:paraId="57B98FC5" w14:textId="59CEEE43" w:rsidR="00C5301B" w:rsidRPr="00C5301B" w:rsidRDefault="00C5301B" w:rsidP="00C5301B">
            <w:pPr>
              <w:jc w:val="center"/>
              <w:rPr>
                <w:lang w:val="sr-Latn-RS"/>
              </w:rPr>
            </w:pPr>
            <w:r>
              <w:rPr>
                <w:lang w:val="sr-Latn-RS"/>
              </w:rPr>
              <w:t>M63</w:t>
            </w:r>
          </w:p>
        </w:tc>
      </w:tr>
      <w:tr w:rsidR="00C5301B" w:rsidRPr="006B77E8" w14:paraId="2A5753A3" w14:textId="77777777" w:rsidTr="00030559">
        <w:trPr>
          <w:trHeight w:val="340"/>
          <w:jc w:val="center"/>
        </w:trPr>
        <w:tc>
          <w:tcPr>
            <w:tcW w:w="547" w:type="dxa"/>
            <w:vMerge/>
            <w:shd w:val="clear" w:color="auto" w:fill="F3F3F3"/>
            <w:vAlign w:val="center"/>
          </w:tcPr>
          <w:p w14:paraId="0E44B3BF" w14:textId="77777777" w:rsidR="00C5301B" w:rsidRPr="006B77E8" w:rsidRDefault="00C5301B" w:rsidP="00D22A91">
            <w:pPr>
              <w:rPr>
                <w:sz w:val="18"/>
                <w:szCs w:val="18"/>
                <w:lang w:val="sr-Cyrl-RS"/>
              </w:rPr>
            </w:pPr>
          </w:p>
        </w:tc>
        <w:tc>
          <w:tcPr>
            <w:tcW w:w="9178" w:type="dxa"/>
            <w:gridSpan w:val="6"/>
            <w:vAlign w:val="center"/>
          </w:tcPr>
          <w:p w14:paraId="7CB04E18" w14:textId="34B74EFA" w:rsidR="00C5301B" w:rsidRPr="00C5301B" w:rsidRDefault="00C5301B" w:rsidP="00C5301B">
            <w:pPr>
              <w:rPr>
                <w:rFonts w:eastAsia="Calibri"/>
                <w:bCs/>
                <w:color w:val="000000" w:themeColor="text1"/>
                <w:lang w:val="sr-Cyrl-RS"/>
              </w:rPr>
            </w:pPr>
            <w:r w:rsidRPr="00C5301B">
              <w:rPr>
                <w:rFonts w:eastAsia="Calibri"/>
                <w:bCs/>
                <w:color w:val="000000" w:themeColor="text1"/>
                <w:lang w:val="sr-Cyrl-RS"/>
              </w:rPr>
              <w:t>Ово истаживање бави се анализом еуфемизама у одређеним политичким говорима бившег америчког председника Барака Обаме у периоду између 2006. и 2013. године, са освртом на вешту употреби језика у политичким говорима. Применом критичке анализе дискурса, аутор приступа квалитативној анализи еуфемизама, уз фокус на партикуларизацији, импликацијама, метафори и метонимији, и бави се њиховим обрасцима. Резултати показују да су еуфемизми који су уочени у датим говорима употребљени су са следећим циљевима: представљање „себе“ у позитивном светлу, а „другог“ у негативном, заштите „лица“ у прагматичком смислу, као и оправдавања вођења и учествовања у рату.</w:t>
            </w:r>
          </w:p>
        </w:tc>
        <w:tc>
          <w:tcPr>
            <w:tcW w:w="1061" w:type="dxa"/>
            <w:gridSpan w:val="2"/>
            <w:vMerge/>
            <w:vAlign w:val="center"/>
          </w:tcPr>
          <w:p w14:paraId="12B0F944" w14:textId="77777777" w:rsidR="00C5301B" w:rsidRPr="006B77E8" w:rsidRDefault="00C5301B" w:rsidP="00D22A91">
            <w:pPr>
              <w:rPr>
                <w:lang w:val="sr-Cyrl-RS"/>
              </w:rPr>
            </w:pPr>
          </w:p>
        </w:tc>
      </w:tr>
      <w:tr w:rsidR="00C5301B" w:rsidRPr="006B77E8" w14:paraId="775AFF8D" w14:textId="77777777" w:rsidTr="00D22A91">
        <w:trPr>
          <w:trHeight w:val="340"/>
          <w:jc w:val="center"/>
        </w:trPr>
        <w:tc>
          <w:tcPr>
            <w:tcW w:w="547" w:type="dxa"/>
            <w:vMerge/>
            <w:shd w:val="clear" w:color="auto" w:fill="F3F3F3"/>
            <w:vAlign w:val="center"/>
          </w:tcPr>
          <w:p w14:paraId="133EC664" w14:textId="77777777" w:rsidR="00C5301B" w:rsidRPr="006B77E8" w:rsidRDefault="00C5301B" w:rsidP="00C5301B">
            <w:pPr>
              <w:rPr>
                <w:sz w:val="18"/>
                <w:szCs w:val="18"/>
                <w:lang w:val="sr-Cyrl-RS"/>
              </w:rPr>
            </w:pPr>
          </w:p>
        </w:tc>
        <w:tc>
          <w:tcPr>
            <w:tcW w:w="5038" w:type="dxa"/>
            <w:gridSpan w:val="3"/>
            <w:vAlign w:val="center"/>
          </w:tcPr>
          <w:p w14:paraId="6A4DB45B" w14:textId="218D13C6" w:rsidR="00C5301B" w:rsidRPr="006B77E8" w:rsidRDefault="00C5301B" w:rsidP="00C5301B">
            <w:pPr>
              <w:rPr>
                <w:sz w:val="18"/>
                <w:szCs w:val="18"/>
                <w:lang w:val="sr-Cyrl-RS"/>
              </w:rPr>
            </w:pPr>
            <w:r w:rsidRPr="006B77E8">
              <w:rPr>
                <w:sz w:val="18"/>
                <w:szCs w:val="18"/>
                <w:lang w:val="sr-Cyrl-RS"/>
              </w:rPr>
              <w:t>Рад припада научној области докторске дисертације</w:t>
            </w:r>
          </w:p>
        </w:tc>
        <w:tc>
          <w:tcPr>
            <w:tcW w:w="720" w:type="dxa"/>
            <w:vAlign w:val="center"/>
          </w:tcPr>
          <w:p w14:paraId="420CF295" w14:textId="3C3C56E4" w:rsidR="00C5301B" w:rsidRPr="006B77E8" w:rsidRDefault="00C5301B" w:rsidP="00C5301B">
            <w:pPr>
              <w:jc w:val="center"/>
              <w:rPr>
                <w:sz w:val="18"/>
                <w:szCs w:val="18"/>
                <w:lang w:val="sr-Cyrl-RS"/>
              </w:rPr>
            </w:pPr>
            <w:r w:rsidRPr="006B77E8">
              <w:rPr>
                <w:sz w:val="18"/>
                <w:szCs w:val="18"/>
                <w:lang w:val="sr-Cyrl-RS"/>
              </w:rPr>
              <w:t>ДА</w:t>
            </w:r>
          </w:p>
        </w:tc>
        <w:tc>
          <w:tcPr>
            <w:tcW w:w="900" w:type="dxa"/>
            <w:vAlign w:val="center"/>
          </w:tcPr>
          <w:p w14:paraId="05C30AB6" w14:textId="71DE3900" w:rsidR="00C5301B" w:rsidRPr="00C5301B" w:rsidRDefault="00C5301B" w:rsidP="00C5301B">
            <w:pPr>
              <w:jc w:val="center"/>
              <w:rPr>
                <w:sz w:val="18"/>
                <w:szCs w:val="18"/>
                <w:lang w:val="sr-Cyrl-RS"/>
              </w:rPr>
            </w:pPr>
            <w:r w:rsidRPr="00C5301B">
              <w:rPr>
                <w:sz w:val="18"/>
                <w:szCs w:val="18"/>
                <w:lang w:val="sr-Cyrl-RS"/>
              </w:rPr>
              <w:t>НЕ</w:t>
            </w:r>
          </w:p>
        </w:tc>
        <w:tc>
          <w:tcPr>
            <w:tcW w:w="2520" w:type="dxa"/>
            <w:vAlign w:val="center"/>
          </w:tcPr>
          <w:p w14:paraId="267E8DA8" w14:textId="753D9C79" w:rsidR="00C5301B" w:rsidRPr="00C5301B" w:rsidRDefault="00C5301B" w:rsidP="00C5301B">
            <w:pPr>
              <w:jc w:val="center"/>
              <w:rPr>
                <w:sz w:val="18"/>
                <w:szCs w:val="18"/>
                <w:u w:val="single"/>
                <w:lang w:val="sr-Cyrl-RS"/>
              </w:rPr>
            </w:pPr>
            <w:r w:rsidRPr="00C5301B">
              <w:rPr>
                <w:sz w:val="18"/>
                <w:szCs w:val="18"/>
                <w:u w:val="single"/>
                <w:lang w:val="sr-Cyrl-RS"/>
              </w:rPr>
              <w:t>ДЕЛИМИЧНО</w:t>
            </w:r>
          </w:p>
        </w:tc>
        <w:tc>
          <w:tcPr>
            <w:tcW w:w="1061" w:type="dxa"/>
            <w:gridSpan w:val="2"/>
            <w:vMerge/>
            <w:vAlign w:val="center"/>
          </w:tcPr>
          <w:p w14:paraId="600D3FF2" w14:textId="77777777" w:rsidR="00C5301B" w:rsidRPr="006B77E8" w:rsidRDefault="00C5301B" w:rsidP="00C5301B">
            <w:pPr>
              <w:rPr>
                <w:lang w:val="sr-Cyrl-RS"/>
              </w:rPr>
            </w:pPr>
          </w:p>
        </w:tc>
      </w:tr>
      <w:tr w:rsidR="00EA0590" w:rsidRPr="006B77E8" w14:paraId="5F0DCF8F" w14:textId="77777777" w:rsidTr="00D22A91">
        <w:trPr>
          <w:trHeight w:val="340"/>
          <w:jc w:val="center"/>
        </w:trPr>
        <w:tc>
          <w:tcPr>
            <w:tcW w:w="10786" w:type="dxa"/>
            <w:gridSpan w:val="9"/>
            <w:shd w:val="clear" w:color="auto" w:fill="F3F3F3"/>
            <w:vAlign w:val="center"/>
          </w:tcPr>
          <w:p w14:paraId="6B8EC44E" w14:textId="77777777" w:rsidR="00EA0590" w:rsidRPr="006B77E8" w:rsidRDefault="00EA0590" w:rsidP="00D22A91">
            <w:pPr>
              <w:rPr>
                <w:sz w:val="20"/>
                <w:szCs w:val="20"/>
                <w:lang w:val="sr-Cyrl-RS"/>
              </w:rPr>
            </w:pPr>
            <w:r w:rsidRPr="006B77E8">
              <w:rPr>
                <w:b/>
                <w:sz w:val="20"/>
                <w:szCs w:val="20"/>
                <w:lang w:val="sr-Cyrl-RS"/>
              </w:rPr>
              <w:t>НАПОМЕНА</w:t>
            </w:r>
            <w:r w:rsidRPr="006B77E8">
              <w:rPr>
                <w:sz w:val="20"/>
                <w:szCs w:val="20"/>
                <w:lang w:val="sr-Cyrl-RS"/>
              </w:rPr>
              <w:t>: уколико је кандидат објавио више од 5 радова, додати нове редове у овај део документа</w:t>
            </w:r>
          </w:p>
        </w:tc>
      </w:tr>
      <w:tr w:rsidR="00EA0590" w:rsidRPr="006B77E8" w14:paraId="516BEDB6" w14:textId="77777777" w:rsidTr="00D22A91">
        <w:trPr>
          <w:trHeight w:val="340"/>
          <w:jc w:val="center"/>
        </w:trPr>
        <w:tc>
          <w:tcPr>
            <w:tcW w:w="10786" w:type="dxa"/>
            <w:gridSpan w:val="9"/>
            <w:shd w:val="clear" w:color="auto" w:fill="D9D9D9"/>
            <w:vAlign w:val="center"/>
          </w:tcPr>
          <w:p w14:paraId="2FE07818" w14:textId="77777777" w:rsidR="00EA0590" w:rsidRPr="006B77E8" w:rsidRDefault="00EA0590" w:rsidP="00D22A91">
            <w:pPr>
              <w:jc w:val="center"/>
              <w:rPr>
                <w:b/>
                <w:lang w:val="sr-Cyrl-RS"/>
              </w:rPr>
            </w:pPr>
            <w:r w:rsidRPr="006B77E8">
              <w:rPr>
                <w:rFonts w:eastAsia="TimesNewRomanPS-BoldMT"/>
                <w:b/>
                <w:lang w:val="sr-Cyrl-RS"/>
              </w:rPr>
              <w:t>ИСПУЊЕНОСТ УСЛОВА КАНДИДАТА ЗА ПОДНОШЕЊЕ ЗАХТЕВА ЗА ОДОБРАВАЊЕ ТЕМЕ</w:t>
            </w:r>
          </w:p>
        </w:tc>
      </w:tr>
      <w:tr w:rsidR="00EA0590" w:rsidRPr="006B77E8" w14:paraId="1B449162" w14:textId="77777777" w:rsidTr="00D22A91">
        <w:trPr>
          <w:trHeight w:val="340"/>
          <w:jc w:val="center"/>
        </w:trPr>
        <w:tc>
          <w:tcPr>
            <w:tcW w:w="9725" w:type="dxa"/>
            <w:gridSpan w:val="7"/>
            <w:tcBorders>
              <w:bottom w:val="single" w:sz="4" w:space="0" w:color="C0C0C0"/>
            </w:tcBorders>
            <w:shd w:val="clear" w:color="auto" w:fill="F3F3F3"/>
            <w:vAlign w:val="center"/>
          </w:tcPr>
          <w:p w14:paraId="348B336A" w14:textId="77777777" w:rsidR="00EA0590" w:rsidRPr="006B77E8" w:rsidRDefault="00EA0590" w:rsidP="00D22A91">
            <w:pPr>
              <w:rPr>
                <w:b/>
                <w:sz w:val="20"/>
                <w:szCs w:val="20"/>
                <w:lang w:val="sr-Cyrl-RS"/>
              </w:rPr>
            </w:pPr>
            <w:r w:rsidRPr="006B77E8">
              <w:rPr>
                <w:b/>
                <w:sz w:val="20"/>
                <w:szCs w:val="20"/>
                <w:lang w:val="sr-Cyrl-RS"/>
              </w:rPr>
              <w:t>Кандидат испуњава услове предвиђене Законом о високом образовању, Статутом Универзитета и Статутом Факултета да поднесе захтев за одобравање теме докторске дисертације</w:t>
            </w:r>
          </w:p>
        </w:tc>
        <w:tc>
          <w:tcPr>
            <w:tcW w:w="540" w:type="dxa"/>
            <w:tcBorders>
              <w:bottom w:val="single" w:sz="4" w:space="0" w:color="C0C0C0"/>
            </w:tcBorders>
            <w:shd w:val="clear" w:color="auto" w:fill="F3F3F3"/>
            <w:vAlign w:val="center"/>
          </w:tcPr>
          <w:p w14:paraId="5B402A3F" w14:textId="77777777" w:rsidR="00EA0590" w:rsidRPr="006B77E8" w:rsidRDefault="00EA0590" w:rsidP="00D22A91">
            <w:pPr>
              <w:jc w:val="center"/>
              <w:rPr>
                <w:b/>
                <w:sz w:val="20"/>
                <w:szCs w:val="20"/>
                <w:u w:val="single"/>
                <w:lang w:val="sr-Cyrl-RS"/>
              </w:rPr>
            </w:pPr>
            <w:r w:rsidRPr="006B77E8">
              <w:rPr>
                <w:b/>
                <w:sz w:val="20"/>
                <w:szCs w:val="20"/>
                <w:u w:val="single"/>
                <w:lang w:val="sr-Cyrl-RS"/>
              </w:rPr>
              <w:t>ДА</w:t>
            </w:r>
          </w:p>
        </w:tc>
        <w:tc>
          <w:tcPr>
            <w:tcW w:w="521" w:type="dxa"/>
            <w:tcBorders>
              <w:bottom w:val="single" w:sz="4" w:space="0" w:color="C0C0C0"/>
            </w:tcBorders>
            <w:shd w:val="clear" w:color="auto" w:fill="F3F3F3"/>
            <w:vAlign w:val="center"/>
          </w:tcPr>
          <w:p w14:paraId="47A18A54" w14:textId="77777777" w:rsidR="00EA0590" w:rsidRPr="006B77E8" w:rsidRDefault="00EA0590" w:rsidP="00D22A91">
            <w:pPr>
              <w:jc w:val="center"/>
              <w:rPr>
                <w:b/>
                <w:sz w:val="20"/>
                <w:szCs w:val="20"/>
                <w:lang w:val="sr-Cyrl-RS"/>
              </w:rPr>
            </w:pPr>
            <w:r w:rsidRPr="006B77E8">
              <w:rPr>
                <w:b/>
                <w:sz w:val="20"/>
                <w:szCs w:val="20"/>
                <w:lang w:val="sr-Cyrl-RS"/>
              </w:rPr>
              <w:t>НЕ</w:t>
            </w:r>
          </w:p>
        </w:tc>
      </w:tr>
      <w:tr w:rsidR="00EA0590" w:rsidRPr="006B77E8" w14:paraId="3E0A44BF" w14:textId="77777777" w:rsidTr="00D22A91">
        <w:trPr>
          <w:trHeight w:val="340"/>
          <w:jc w:val="center"/>
        </w:trPr>
        <w:tc>
          <w:tcPr>
            <w:tcW w:w="10786" w:type="dxa"/>
            <w:gridSpan w:val="9"/>
            <w:shd w:val="clear" w:color="auto" w:fill="auto"/>
            <w:vAlign w:val="center"/>
          </w:tcPr>
          <w:p w14:paraId="308A206A" w14:textId="38ECD4A5" w:rsidR="001471F7" w:rsidRPr="00C5301B" w:rsidRDefault="001471F7" w:rsidP="00D22A91">
            <w:pPr>
              <w:rPr>
                <w:lang w:val="sr-Cyrl-RS"/>
              </w:rPr>
            </w:pPr>
            <w:r>
              <w:rPr>
                <w:lang w:val="sr-Cyrl-RS"/>
              </w:rPr>
              <w:tab/>
            </w:r>
            <w:r w:rsidR="006B77E8" w:rsidRPr="006B77E8">
              <w:rPr>
                <w:lang w:val="sr-Cyrl-RS"/>
              </w:rPr>
              <w:t>Кандидат</w:t>
            </w:r>
            <w:r w:rsidR="00557180">
              <w:rPr>
                <w:lang w:val="sr-Cyrl-RS"/>
              </w:rPr>
              <w:t>киња</w:t>
            </w:r>
            <w:r w:rsidR="006B77E8" w:rsidRPr="006B77E8">
              <w:rPr>
                <w:lang w:val="sr-Cyrl-RS"/>
              </w:rPr>
              <w:t xml:space="preserve"> Катарина Миленковић, мастер филолог-англиста, испуњава све услове предвиђене одговарајућим законским и подзаконским актима (члан 40</w:t>
            </w:r>
            <w:r w:rsidR="006B77E8">
              <w:rPr>
                <w:lang w:val="sr-Cyrl-RS"/>
              </w:rPr>
              <w:t>.</w:t>
            </w:r>
            <w:r w:rsidR="006B77E8" w:rsidRPr="006B77E8">
              <w:rPr>
                <w:lang w:val="sr-Cyrl-RS"/>
              </w:rPr>
              <w:t xml:space="preserve"> Закона о високом образовању, члан 152</w:t>
            </w:r>
            <w:r w:rsidR="006B77E8">
              <w:rPr>
                <w:lang w:val="sr-Cyrl-RS"/>
              </w:rPr>
              <w:t>.</w:t>
            </w:r>
            <w:r w:rsidR="006B77E8" w:rsidRPr="006B77E8">
              <w:rPr>
                <w:lang w:val="sr-Cyrl-RS"/>
              </w:rPr>
              <w:t xml:space="preserve"> Статута Универзитета у Нишу, члан 135</w:t>
            </w:r>
            <w:r w:rsidR="006B77E8">
              <w:rPr>
                <w:lang w:val="sr-Cyrl-RS"/>
              </w:rPr>
              <w:t>–</w:t>
            </w:r>
            <w:r w:rsidR="006B77E8" w:rsidRPr="006B77E8">
              <w:rPr>
                <w:lang w:val="sr-Cyrl-RS"/>
              </w:rPr>
              <w:t>137</w:t>
            </w:r>
            <w:r w:rsidR="006B77E8">
              <w:rPr>
                <w:lang w:val="sr-Cyrl-RS"/>
              </w:rPr>
              <w:t>.</w:t>
            </w:r>
            <w:r w:rsidR="006B77E8" w:rsidRPr="006B77E8">
              <w:rPr>
                <w:lang w:val="sr-Cyrl-RS"/>
              </w:rPr>
              <w:t xml:space="preserve"> Статута Филозофског факултета, Правилник о поступку припреме и условима за одбрану докторске дисертације Универзитета у Нишу од 4.</w:t>
            </w:r>
            <w:r w:rsidR="006B77E8">
              <w:rPr>
                <w:lang w:val="sr-Cyrl-RS"/>
              </w:rPr>
              <w:t xml:space="preserve"> </w:t>
            </w:r>
            <w:r w:rsidR="006B77E8" w:rsidRPr="006B77E8">
              <w:rPr>
                <w:lang w:val="sr-Cyrl-RS"/>
              </w:rPr>
              <w:t>6.</w:t>
            </w:r>
            <w:r w:rsidR="006B77E8">
              <w:rPr>
                <w:lang w:val="sr-Cyrl-RS"/>
              </w:rPr>
              <w:t xml:space="preserve"> </w:t>
            </w:r>
            <w:r w:rsidR="006B77E8" w:rsidRPr="006B77E8">
              <w:rPr>
                <w:lang w:val="sr-Cyrl-RS"/>
              </w:rPr>
              <w:t>2018. године, СНУ број 8/16-01-005/18-014</w:t>
            </w:r>
            <w:r w:rsidR="00557180">
              <w:rPr>
                <w:lang w:val="sr-Cyrl-RS"/>
              </w:rPr>
              <w:t xml:space="preserve"> и </w:t>
            </w:r>
            <w:r w:rsidR="00557180" w:rsidRPr="00557180">
              <w:rPr>
                <w:lang w:val="sr-Cyrl-RS"/>
              </w:rPr>
              <w:t>Правилник о докторским студијама</w:t>
            </w:r>
            <w:r w:rsidR="00557180">
              <w:rPr>
                <w:lang w:val="sr-Cyrl-RS"/>
              </w:rPr>
              <w:t xml:space="preserve"> Филозофског факултет у Нишу бр. 209/1-3-01 од 19. 6. 2019. године</w:t>
            </w:r>
            <w:r w:rsidR="006B77E8" w:rsidRPr="006B77E8">
              <w:rPr>
                <w:lang w:val="sr-Cyrl-RS"/>
              </w:rPr>
              <w:t xml:space="preserve">). </w:t>
            </w:r>
            <w:r w:rsidR="00557180">
              <w:rPr>
                <w:lang w:val="sr-Cyrl-RS"/>
              </w:rPr>
              <w:t>Мисли се пре свега</w:t>
            </w:r>
            <w:r w:rsidR="00DB47CA">
              <w:rPr>
                <w:lang w:val="sr-Cyrl-RS"/>
              </w:rPr>
              <w:t xml:space="preserve"> </w:t>
            </w:r>
            <w:r w:rsidR="006B77E8" w:rsidRPr="006B77E8">
              <w:rPr>
                <w:lang w:val="sr-Cyrl-RS"/>
              </w:rPr>
              <w:t xml:space="preserve">на уверење да је </w:t>
            </w:r>
            <w:r w:rsidR="00557180">
              <w:rPr>
                <w:lang w:val="sr-Cyrl-RS"/>
              </w:rPr>
              <w:t xml:space="preserve">кандидаткиња </w:t>
            </w:r>
            <w:r w:rsidR="006B77E8" w:rsidRPr="006B77E8">
              <w:rPr>
                <w:lang w:val="sr-Cyrl-RS"/>
              </w:rPr>
              <w:t>испуни</w:t>
            </w:r>
            <w:r w:rsidR="00557180">
              <w:rPr>
                <w:lang w:val="sr-Cyrl-RS"/>
              </w:rPr>
              <w:t>ла</w:t>
            </w:r>
            <w:r w:rsidR="006B77E8" w:rsidRPr="006B77E8">
              <w:rPr>
                <w:lang w:val="sr-Cyrl-RS"/>
              </w:rPr>
              <w:t xml:space="preserve"> све обавезе предвиђене студијским програмом докторских академских студија филологије на Филозофском факултету у Нишу (</w:t>
            </w:r>
            <w:r w:rsidR="00557180">
              <w:rPr>
                <w:lang w:val="sr-Cyrl-RS"/>
              </w:rPr>
              <w:t xml:space="preserve">у прве две године </w:t>
            </w:r>
            <w:r w:rsidR="006B77E8" w:rsidRPr="006B77E8">
              <w:rPr>
                <w:lang w:val="sr-Cyrl-RS"/>
              </w:rPr>
              <w:t>освој</w:t>
            </w:r>
            <w:r w:rsidR="00557180">
              <w:rPr>
                <w:lang w:val="sr-Cyrl-RS"/>
              </w:rPr>
              <w:t>ила свих</w:t>
            </w:r>
            <w:r w:rsidR="006B77E8" w:rsidRPr="006B77E8">
              <w:rPr>
                <w:lang w:val="sr-Cyrl-RS"/>
              </w:rPr>
              <w:t xml:space="preserve"> 120 ЕСПБ, положи</w:t>
            </w:r>
            <w:r w:rsidR="00557180">
              <w:rPr>
                <w:lang w:val="sr-Cyrl-RS"/>
              </w:rPr>
              <w:t>ла</w:t>
            </w:r>
            <w:r w:rsidR="006B77E8" w:rsidRPr="006B77E8">
              <w:rPr>
                <w:lang w:val="sr-Cyrl-RS"/>
              </w:rPr>
              <w:t xml:space="preserve"> све испите са просечном оценом 10</w:t>
            </w:r>
            <w:r w:rsidR="00557180">
              <w:rPr>
                <w:lang w:val="sr-Cyrl-RS"/>
              </w:rPr>
              <w:t>,00</w:t>
            </w:r>
            <w:r w:rsidR="006B77E8" w:rsidRPr="006B77E8">
              <w:rPr>
                <w:lang w:val="sr-Cyrl-RS"/>
              </w:rPr>
              <w:t xml:space="preserve"> и уписа</w:t>
            </w:r>
            <w:r w:rsidR="00557180">
              <w:rPr>
                <w:lang w:val="sr-Cyrl-RS"/>
              </w:rPr>
              <w:t>ла</w:t>
            </w:r>
            <w:r w:rsidR="006B77E8" w:rsidRPr="006B77E8">
              <w:rPr>
                <w:lang w:val="sr-Cyrl-RS"/>
              </w:rPr>
              <w:t xml:space="preserve"> пети семестар</w:t>
            </w:r>
            <w:r w:rsidR="00557180">
              <w:rPr>
                <w:lang w:val="sr-Cyrl-RS"/>
              </w:rPr>
              <w:t xml:space="preserve"> ДАС филологије</w:t>
            </w:r>
            <w:r w:rsidR="006B77E8" w:rsidRPr="006B77E8">
              <w:rPr>
                <w:lang w:val="sr-Cyrl-RS"/>
              </w:rPr>
              <w:t>)</w:t>
            </w:r>
            <w:r w:rsidR="00557180">
              <w:rPr>
                <w:lang w:val="sr-Cyrl-RS"/>
              </w:rPr>
              <w:t>, па је</w:t>
            </w:r>
            <w:r w:rsidR="006B77E8" w:rsidRPr="006B77E8">
              <w:rPr>
                <w:lang w:val="sr-Cyrl-RS"/>
              </w:rPr>
              <w:t xml:space="preserve"> тиме стек</w:t>
            </w:r>
            <w:r w:rsidR="00557180">
              <w:rPr>
                <w:lang w:val="sr-Cyrl-RS"/>
              </w:rPr>
              <w:t>ла</w:t>
            </w:r>
            <w:r w:rsidR="006B77E8" w:rsidRPr="006B77E8">
              <w:rPr>
                <w:lang w:val="sr-Cyrl-RS"/>
              </w:rPr>
              <w:t xml:space="preserve"> право да поднесе захтев за одобравање пријаве теме докторске дисертације. </w:t>
            </w:r>
            <w:r w:rsidR="00557180">
              <w:rPr>
                <w:lang w:val="sr-Cyrl-RS"/>
              </w:rPr>
              <w:t>К</w:t>
            </w:r>
            <w:r w:rsidR="006B77E8" w:rsidRPr="006B77E8">
              <w:rPr>
                <w:lang w:val="sr-Cyrl-RS"/>
              </w:rPr>
              <w:t>андидат</w:t>
            </w:r>
            <w:r w:rsidR="00557180">
              <w:rPr>
                <w:lang w:val="sr-Cyrl-RS"/>
              </w:rPr>
              <w:t>киња</w:t>
            </w:r>
            <w:r w:rsidR="006B77E8" w:rsidRPr="006B77E8">
              <w:rPr>
                <w:lang w:val="sr-Cyrl-RS"/>
              </w:rPr>
              <w:t xml:space="preserve"> је приложио </w:t>
            </w:r>
            <w:r w:rsidR="00557180">
              <w:rPr>
                <w:lang w:val="sr-Cyrl-RS"/>
              </w:rPr>
              <w:t xml:space="preserve">и </w:t>
            </w:r>
            <w:r w:rsidR="006B77E8" w:rsidRPr="006B77E8">
              <w:rPr>
                <w:lang w:val="sr-Cyrl-RS"/>
              </w:rPr>
              <w:t>биографске податке, списак објављених радова и саме радове (</w:t>
            </w:r>
            <w:r w:rsidR="00557180">
              <w:rPr>
                <w:lang w:val="sr-Cyrl-RS"/>
              </w:rPr>
              <w:t>од којих су неки директно повезани са темом докторске дисертације</w:t>
            </w:r>
            <w:r w:rsidR="006B77E8" w:rsidRPr="006B77E8">
              <w:rPr>
                <w:lang w:val="sr-Cyrl-RS"/>
              </w:rPr>
              <w:t xml:space="preserve">), име предложеног ментора и изјаву предложеног ментора о прихватању менторства, </w:t>
            </w:r>
            <w:r w:rsidR="00557180">
              <w:rPr>
                <w:lang w:val="sr-Cyrl-RS"/>
              </w:rPr>
              <w:t>као и детаљан</w:t>
            </w:r>
            <w:r w:rsidR="006B77E8" w:rsidRPr="006B77E8">
              <w:rPr>
                <w:lang w:val="sr-Cyrl-RS"/>
              </w:rPr>
              <w:t xml:space="preserve"> предлог и образложење теме и истраживања </w:t>
            </w:r>
            <w:r w:rsidR="00A25CB5">
              <w:rPr>
                <w:lang w:val="sr-Cyrl-RS"/>
              </w:rPr>
              <w:t>које планира да изведе у оквиру рада на</w:t>
            </w:r>
            <w:r w:rsidR="006B77E8" w:rsidRPr="006B77E8">
              <w:rPr>
                <w:lang w:val="sr-Cyrl-RS"/>
              </w:rPr>
              <w:t xml:space="preserve"> докторској дисертацији.  </w:t>
            </w:r>
          </w:p>
        </w:tc>
      </w:tr>
      <w:tr w:rsidR="00EA0590" w:rsidRPr="006B77E8" w14:paraId="24E77832" w14:textId="77777777" w:rsidTr="00D22A91">
        <w:trPr>
          <w:trHeight w:val="340"/>
          <w:jc w:val="center"/>
        </w:trPr>
        <w:tc>
          <w:tcPr>
            <w:tcW w:w="10786" w:type="dxa"/>
            <w:gridSpan w:val="9"/>
            <w:shd w:val="clear" w:color="auto" w:fill="D9D9D9"/>
            <w:vAlign w:val="center"/>
          </w:tcPr>
          <w:p w14:paraId="2AFC1CBE" w14:textId="77777777" w:rsidR="00EA0590" w:rsidRPr="006B77E8" w:rsidRDefault="00EA0590" w:rsidP="00D22A91">
            <w:pPr>
              <w:jc w:val="center"/>
              <w:rPr>
                <w:b/>
                <w:lang w:val="sr-Cyrl-RS"/>
              </w:rPr>
            </w:pPr>
            <w:r w:rsidRPr="006B77E8">
              <w:rPr>
                <w:rFonts w:eastAsia="TimesNewRomanPS-BoldMT"/>
                <w:b/>
                <w:lang w:val="sr-Cyrl-RS"/>
              </w:rPr>
              <w:t>ИСПУЊЕНОСТ УСЛОВА МЕНТОРА</w:t>
            </w:r>
          </w:p>
        </w:tc>
      </w:tr>
      <w:tr w:rsidR="00113816" w:rsidRPr="006B77E8" w14:paraId="306E7BDF" w14:textId="77777777" w:rsidTr="00D22A91">
        <w:trPr>
          <w:trHeight w:val="72"/>
          <w:jc w:val="center"/>
        </w:trPr>
        <w:tc>
          <w:tcPr>
            <w:tcW w:w="2336" w:type="dxa"/>
            <w:gridSpan w:val="2"/>
            <w:shd w:val="clear" w:color="auto" w:fill="F3F3F3"/>
            <w:tcMar>
              <w:left w:w="57" w:type="dxa"/>
              <w:right w:w="57" w:type="dxa"/>
            </w:tcMar>
            <w:vAlign w:val="center"/>
          </w:tcPr>
          <w:p w14:paraId="5EFAE177" w14:textId="77777777" w:rsidR="00113816" w:rsidRPr="006B77E8" w:rsidRDefault="00113816" w:rsidP="00113816">
            <w:pPr>
              <w:rPr>
                <w:sz w:val="18"/>
                <w:szCs w:val="18"/>
                <w:lang w:val="sr-Cyrl-RS"/>
              </w:rPr>
            </w:pPr>
            <w:r w:rsidRPr="006B77E8">
              <w:rPr>
                <w:rFonts w:eastAsia="TimesNewRomanPS-BoldMT"/>
                <w:sz w:val="18"/>
                <w:szCs w:val="18"/>
                <w:lang w:val="sr-Cyrl-RS"/>
              </w:rPr>
              <w:t>Име и презиме, звање</w:t>
            </w:r>
          </w:p>
        </w:tc>
        <w:tc>
          <w:tcPr>
            <w:tcW w:w="8450" w:type="dxa"/>
            <w:gridSpan w:val="7"/>
            <w:tcMar>
              <w:left w:w="57" w:type="dxa"/>
              <w:right w:w="57" w:type="dxa"/>
            </w:tcMar>
          </w:tcPr>
          <w:p w14:paraId="59A88120" w14:textId="29524612" w:rsidR="00113816" w:rsidRPr="006B77E8" w:rsidRDefault="00113816" w:rsidP="00113816">
            <w:pPr>
              <w:rPr>
                <w:lang w:val="sr-Cyrl-RS"/>
              </w:rPr>
            </w:pPr>
            <w:r w:rsidRPr="006B77E8">
              <w:rPr>
                <w:lang w:val="sr-Cyrl-RS"/>
              </w:rPr>
              <w:t>Душан Стаменковић, ванредни професор, доктор филолошких наука</w:t>
            </w:r>
          </w:p>
        </w:tc>
      </w:tr>
      <w:tr w:rsidR="00113816" w:rsidRPr="006B77E8" w14:paraId="181C2E15" w14:textId="77777777" w:rsidTr="00D22A91">
        <w:trPr>
          <w:trHeight w:val="20"/>
          <w:jc w:val="center"/>
        </w:trPr>
        <w:tc>
          <w:tcPr>
            <w:tcW w:w="2336" w:type="dxa"/>
            <w:gridSpan w:val="2"/>
            <w:shd w:val="clear" w:color="auto" w:fill="F3F3F3"/>
            <w:tcMar>
              <w:left w:w="57" w:type="dxa"/>
              <w:right w:w="57" w:type="dxa"/>
            </w:tcMar>
            <w:vAlign w:val="center"/>
          </w:tcPr>
          <w:p w14:paraId="1992EC49" w14:textId="77777777" w:rsidR="00113816" w:rsidRPr="006B77E8" w:rsidRDefault="00113816" w:rsidP="00113816">
            <w:pPr>
              <w:rPr>
                <w:sz w:val="18"/>
                <w:szCs w:val="18"/>
                <w:lang w:val="sr-Cyrl-RS"/>
              </w:rPr>
            </w:pPr>
            <w:r w:rsidRPr="006B77E8">
              <w:rPr>
                <w:rFonts w:eastAsia="TimesNewRomanPS-BoldMT"/>
                <w:sz w:val="18"/>
                <w:szCs w:val="18"/>
                <w:lang w:val="sr-Cyrl-RS"/>
              </w:rPr>
              <w:t>Ужа научна област за коју је изабран у звање</w:t>
            </w:r>
          </w:p>
        </w:tc>
        <w:tc>
          <w:tcPr>
            <w:tcW w:w="8450" w:type="dxa"/>
            <w:gridSpan w:val="7"/>
            <w:tcMar>
              <w:left w:w="57" w:type="dxa"/>
              <w:right w:w="57" w:type="dxa"/>
            </w:tcMar>
          </w:tcPr>
          <w:p w14:paraId="347F70EE" w14:textId="54405D7F" w:rsidR="00113816" w:rsidRPr="006B77E8" w:rsidRDefault="00113816" w:rsidP="00113816">
            <w:pPr>
              <w:rPr>
                <w:lang w:val="sr-Cyrl-RS"/>
              </w:rPr>
            </w:pPr>
            <w:r w:rsidRPr="006B77E8">
              <w:rPr>
                <w:lang w:val="sr-Cyrl-RS"/>
              </w:rPr>
              <w:t>Филолошке науке; Англистичка лингвистика</w:t>
            </w:r>
          </w:p>
        </w:tc>
      </w:tr>
      <w:tr w:rsidR="00113816" w:rsidRPr="006B77E8" w14:paraId="7D4F6845" w14:textId="77777777" w:rsidTr="00D22A91">
        <w:trPr>
          <w:trHeight w:val="20"/>
          <w:jc w:val="center"/>
        </w:trPr>
        <w:tc>
          <w:tcPr>
            <w:tcW w:w="2336" w:type="dxa"/>
            <w:gridSpan w:val="2"/>
            <w:shd w:val="clear" w:color="auto" w:fill="F3F3F3"/>
            <w:tcMar>
              <w:left w:w="57" w:type="dxa"/>
              <w:right w:w="57" w:type="dxa"/>
            </w:tcMar>
            <w:vAlign w:val="center"/>
          </w:tcPr>
          <w:p w14:paraId="0C20AA62" w14:textId="77777777" w:rsidR="00113816" w:rsidRPr="006B77E8" w:rsidRDefault="00113816" w:rsidP="00113816">
            <w:pPr>
              <w:rPr>
                <w:sz w:val="18"/>
                <w:szCs w:val="18"/>
                <w:lang w:val="sr-Cyrl-RS"/>
              </w:rPr>
            </w:pPr>
            <w:r w:rsidRPr="006B77E8">
              <w:rPr>
                <w:rFonts w:eastAsia="TimesNewRomanPS-BoldMT"/>
                <w:sz w:val="18"/>
                <w:szCs w:val="18"/>
                <w:lang w:val="sr-Cyrl-RS"/>
              </w:rPr>
              <w:t>Датум избора</w:t>
            </w:r>
          </w:p>
        </w:tc>
        <w:tc>
          <w:tcPr>
            <w:tcW w:w="8450" w:type="dxa"/>
            <w:gridSpan w:val="7"/>
            <w:tcMar>
              <w:left w:w="57" w:type="dxa"/>
              <w:right w:w="57" w:type="dxa"/>
            </w:tcMar>
          </w:tcPr>
          <w:p w14:paraId="5C352168" w14:textId="444FAD60" w:rsidR="00113816" w:rsidRPr="006B77E8" w:rsidRDefault="00113816" w:rsidP="00113816">
            <w:pPr>
              <w:rPr>
                <w:lang w:val="sr-Cyrl-RS"/>
              </w:rPr>
            </w:pPr>
            <w:r w:rsidRPr="006B77E8">
              <w:rPr>
                <w:lang w:val="sr-Cyrl-RS"/>
              </w:rPr>
              <w:t>20. 3. 2019.</w:t>
            </w:r>
          </w:p>
        </w:tc>
      </w:tr>
      <w:tr w:rsidR="00113816" w:rsidRPr="006B77E8" w14:paraId="115966F3" w14:textId="77777777" w:rsidTr="00D22A91">
        <w:trPr>
          <w:trHeight w:val="20"/>
          <w:jc w:val="center"/>
        </w:trPr>
        <w:tc>
          <w:tcPr>
            <w:tcW w:w="2336" w:type="dxa"/>
            <w:gridSpan w:val="2"/>
            <w:shd w:val="clear" w:color="auto" w:fill="F3F3F3"/>
            <w:tcMar>
              <w:left w:w="57" w:type="dxa"/>
              <w:right w:w="57" w:type="dxa"/>
            </w:tcMar>
            <w:vAlign w:val="center"/>
          </w:tcPr>
          <w:p w14:paraId="6A6028EF" w14:textId="77777777" w:rsidR="00113816" w:rsidRPr="006B77E8" w:rsidRDefault="00113816" w:rsidP="00113816">
            <w:pPr>
              <w:rPr>
                <w:rFonts w:eastAsia="TimesNewRomanPS-BoldMT"/>
                <w:sz w:val="18"/>
                <w:szCs w:val="18"/>
                <w:lang w:val="sr-Cyrl-RS"/>
              </w:rPr>
            </w:pPr>
            <w:r w:rsidRPr="006B77E8">
              <w:rPr>
                <w:sz w:val="18"/>
                <w:szCs w:val="18"/>
                <w:lang w:val="sr-Cyrl-RS"/>
              </w:rPr>
              <w:t>Установа у којој је запослен</w:t>
            </w:r>
          </w:p>
        </w:tc>
        <w:tc>
          <w:tcPr>
            <w:tcW w:w="8450" w:type="dxa"/>
            <w:gridSpan w:val="7"/>
            <w:tcMar>
              <w:left w:w="57" w:type="dxa"/>
              <w:right w:w="57" w:type="dxa"/>
            </w:tcMar>
          </w:tcPr>
          <w:p w14:paraId="060F3B0F" w14:textId="76E6E8F8" w:rsidR="00113816" w:rsidRPr="006B77E8" w:rsidRDefault="00113816" w:rsidP="00113816">
            <w:pPr>
              <w:rPr>
                <w:lang w:val="sr-Cyrl-RS"/>
              </w:rPr>
            </w:pPr>
            <w:r w:rsidRPr="006B77E8">
              <w:rPr>
                <w:lang w:val="sr-Cyrl-RS"/>
              </w:rPr>
              <w:t>Филозофски факултет Универзитета у Нишу, Департман за англистику</w:t>
            </w:r>
          </w:p>
        </w:tc>
      </w:tr>
      <w:tr w:rsidR="00113816" w:rsidRPr="006B77E8" w14:paraId="30BD4AD1" w14:textId="77777777" w:rsidTr="00D22A91">
        <w:trPr>
          <w:trHeight w:val="70"/>
          <w:jc w:val="center"/>
        </w:trPr>
        <w:tc>
          <w:tcPr>
            <w:tcW w:w="2336" w:type="dxa"/>
            <w:gridSpan w:val="2"/>
            <w:tcBorders>
              <w:bottom w:val="single" w:sz="4" w:space="0" w:color="C0C0C0"/>
            </w:tcBorders>
            <w:shd w:val="clear" w:color="auto" w:fill="F3F3F3"/>
            <w:tcMar>
              <w:left w:w="57" w:type="dxa"/>
              <w:right w:w="57" w:type="dxa"/>
            </w:tcMar>
            <w:vAlign w:val="center"/>
          </w:tcPr>
          <w:p w14:paraId="2DCF2A1B" w14:textId="77777777" w:rsidR="00113816" w:rsidRPr="006B77E8" w:rsidRDefault="00113816" w:rsidP="00113816">
            <w:pPr>
              <w:rPr>
                <w:rFonts w:eastAsia="TimesNewRomanPS-BoldMT"/>
                <w:sz w:val="18"/>
                <w:szCs w:val="18"/>
                <w:lang w:val="sr-Cyrl-RS"/>
              </w:rPr>
            </w:pPr>
            <w:r w:rsidRPr="006B77E8">
              <w:rPr>
                <w:rFonts w:eastAsia="TimesNewRomanPS-BoldMT"/>
                <w:sz w:val="18"/>
                <w:szCs w:val="18"/>
                <w:lang w:val="sr-Cyrl-RS"/>
              </w:rPr>
              <w:t>Е-пошта</w:t>
            </w:r>
          </w:p>
        </w:tc>
        <w:tc>
          <w:tcPr>
            <w:tcW w:w="8450" w:type="dxa"/>
            <w:gridSpan w:val="7"/>
            <w:tcBorders>
              <w:bottom w:val="single" w:sz="4" w:space="0" w:color="C0C0C0"/>
            </w:tcBorders>
            <w:tcMar>
              <w:left w:w="57" w:type="dxa"/>
              <w:right w:w="57" w:type="dxa"/>
            </w:tcMar>
          </w:tcPr>
          <w:p w14:paraId="7F8F1FA0" w14:textId="0102BF7A" w:rsidR="00113816" w:rsidRPr="006B77E8" w:rsidRDefault="00113816" w:rsidP="00113816">
            <w:pPr>
              <w:rPr>
                <w:lang w:val="sr-Cyrl-RS"/>
              </w:rPr>
            </w:pPr>
            <w:r w:rsidRPr="006B77E8">
              <w:rPr>
                <w:lang w:val="sr-Cyrl-RS"/>
              </w:rPr>
              <w:t>dusan.stamenkovic@filfak.ni.ac.rs</w:t>
            </w:r>
          </w:p>
        </w:tc>
      </w:tr>
      <w:tr w:rsidR="00EA0590" w:rsidRPr="006B77E8" w14:paraId="3FE20C04" w14:textId="77777777" w:rsidTr="00D22A91">
        <w:trPr>
          <w:trHeight w:val="340"/>
          <w:jc w:val="center"/>
        </w:trPr>
        <w:tc>
          <w:tcPr>
            <w:tcW w:w="10786" w:type="dxa"/>
            <w:gridSpan w:val="9"/>
            <w:shd w:val="clear" w:color="auto" w:fill="F3F3F3"/>
            <w:vAlign w:val="center"/>
          </w:tcPr>
          <w:p w14:paraId="68EBF9FB" w14:textId="77777777" w:rsidR="00EA0590" w:rsidRPr="006B77E8" w:rsidRDefault="00EA0590" w:rsidP="00D22A91">
            <w:pPr>
              <w:jc w:val="center"/>
              <w:rPr>
                <w:b/>
                <w:sz w:val="20"/>
                <w:szCs w:val="20"/>
                <w:lang w:val="sr-Cyrl-RS"/>
              </w:rPr>
            </w:pPr>
            <w:r w:rsidRPr="006B77E8">
              <w:rPr>
                <w:b/>
                <w:sz w:val="20"/>
                <w:szCs w:val="20"/>
                <w:lang w:val="sr-Cyrl-RS"/>
              </w:rPr>
              <w:t>Најзначајнији радови ментора из научне области којој припада тема докторске дисертације</w:t>
            </w:r>
          </w:p>
        </w:tc>
      </w:tr>
      <w:tr w:rsidR="00EA0590" w:rsidRPr="006B77E8" w14:paraId="4FC3A43B" w14:textId="77777777" w:rsidTr="00D22A91">
        <w:trPr>
          <w:trHeight w:val="340"/>
          <w:jc w:val="center"/>
        </w:trPr>
        <w:tc>
          <w:tcPr>
            <w:tcW w:w="547" w:type="dxa"/>
            <w:shd w:val="clear" w:color="auto" w:fill="F3F3F3"/>
            <w:vAlign w:val="center"/>
          </w:tcPr>
          <w:p w14:paraId="5DF3DCA1" w14:textId="77777777" w:rsidR="00EA0590" w:rsidRPr="006B77E8" w:rsidRDefault="00EA0590" w:rsidP="00D22A91">
            <w:pPr>
              <w:rPr>
                <w:b/>
                <w:sz w:val="18"/>
                <w:szCs w:val="18"/>
                <w:lang w:val="sr-Cyrl-RS"/>
              </w:rPr>
            </w:pPr>
            <w:r w:rsidRPr="006B77E8">
              <w:rPr>
                <w:b/>
                <w:sz w:val="18"/>
                <w:szCs w:val="18"/>
                <w:lang w:val="sr-Cyrl-RS"/>
              </w:rPr>
              <w:t>Р. бр.</w:t>
            </w:r>
          </w:p>
        </w:tc>
        <w:tc>
          <w:tcPr>
            <w:tcW w:w="9178" w:type="dxa"/>
            <w:gridSpan w:val="6"/>
            <w:vAlign w:val="center"/>
          </w:tcPr>
          <w:p w14:paraId="6F63EAE5" w14:textId="77777777" w:rsidR="00EA0590" w:rsidRPr="006B77E8" w:rsidRDefault="00EA0590" w:rsidP="00D22A91">
            <w:pPr>
              <w:jc w:val="center"/>
              <w:rPr>
                <w:b/>
                <w:sz w:val="18"/>
                <w:szCs w:val="18"/>
                <w:lang w:val="sr-Cyrl-RS"/>
              </w:rPr>
            </w:pPr>
            <w:r w:rsidRPr="006B77E8">
              <w:rPr>
                <w:b/>
                <w:sz w:val="18"/>
                <w:szCs w:val="18"/>
                <w:lang w:val="sr-Cyrl-RS"/>
              </w:rPr>
              <w:t>Аутор-и, наслов, часопис, година, број волумена, странице</w:t>
            </w:r>
          </w:p>
        </w:tc>
        <w:tc>
          <w:tcPr>
            <w:tcW w:w="1061" w:type="dxa"/>
            <w:gridSpan w:val="2"/>
            <w:vAlign w:val="center"/>
          </w:tcPr>
          <w:p w14:paraId="67374E4C" w14:textId="77777777" w:rsidR="00EA0590" w:rsidRPr="006B77E8" w:rsidRDefault="00EA0590" w:rsidP="00D22A91">
            <w:pPr>
              <w:jc w:val="center"/>
              <w:rPr>
                <w:b/>
                <w:sz w:val="18"/>
                <w:szCs w:val="18"/>
                <w:lang w:val="sr-Cyrl-RS"/>
              </w:rPr>
            </w:pPr>
            <w:r w:rsidRPr="006B77E8">
              <w:rPr>
                <w:b/>
                <w:sz w:val="18"/>
                <w:szCs w:val="18"/>
                <w:lang w:val="sr-Cyrl-RS"/>
              </w:rPr>
              <w:t>Категорија</w:t>
            </w:r>
          </w:p>
        </w:tc>
      </w:tr>
      <w:tr w:rsidR="00113816" w:rsidRPr="006B77E8" w14:paraId="2BEF673E" w14:textId="77777777" w:rsidTr="00D22A91">
        <w:trPr>
          <w:trHeight w:val="340"/>
          <w:jc w:val="center"/>
        </w:trPr>
        <w:tc>
          <w:tcPr>
            <w:tcW w:w="547" w:type="dxa"/>
            <w:shd w:val="clear" w:color="auto" w:fill="F3F3F3"/>
            <w:vAlign w:val="center"/>
          </w:tcPr>
          <w:p w14:paraId="1F80577C" w14:textId="77777777" w:rsidR="00113816" w:rsidRPr="006B77E8" w:rsidRDefault="00113816" w:rsidP="00113816">
            <w:pPr>
              <w:jc w:val="center"/>
              <w:rPr>
                <w:sz w:val="18"/>
                <w:szCs w:val="18"/>
                <w:lang w:val="sr-Cyrl-RS"/>
              </w:rPr>
            </w:pPr>
            <w:r w:rsidRPr="006B77E8">
              <w:rPr>
                <w:sz w:val="18"/>
                <w:szCs w:val="18"/>
                <w:lang w:val="sr-Cyrl-RS"/>
              </w:rPr>
              <w:t>1</w:t>
            </w:r>
          </w:p>
        </w:tc>
        <w:tc>
          <w:tcPr>
            <w:tcW w:w="9178" w:type="dxa"/>
            <w:gridSpan w:val="6"/>
            <w:vAlign w:val="center"/>
          </w:tcPr>
          <w:p w14:paraId="19A8E0AE" w14:textId="02B7702F" w:rsidR="00113816" w:rsidRPr="00A25CB5" w:rsidRDefault="00113816" w:rsidP="00113816">
            <w:pPr>
              <w:rPr>
                <w:lang w:val="sr-Cyrl-RS"/>
              </w:rPr>
            </w:pPr>
            <w:r w:rsidRPr="00A25CB5">
              <w:rPr>
                <w:b/>
                <w:bCs/>
                <w:color w:val="000000" w:themeColor="text1"/>
                <w:shd w:val="clear" w:color="auto" w:fill="FFFFFF"/>
                <w:lang w:val="sr-Cyrl-RS"/>
              </w:rPr>
              <w:t>Stamenković, Dušan,</w:t>
            </w:r>
            <w:r w:rsidRPr="00A25CB5">
              <w:rPr>
                <w:color w:val="000000" w:themeColor="text1"/>
                <w:shd w:val="clear" w:color="auto" w:fill="FFFFFF"/>
                <w:lang w:val="sr-Cyrl-RS"/>
              </w:rPr>
              <w:t xml:space="preserve"> Nicholas Ichien, Keith J. Holyoak (2019). Metaphor comprehension: An individual-differences approach.</w:t>
            </w:r>
            <w:r w:rsidRPr="00A25CB5">
              <w:rPr>
                <w:i/>
                <w:color w:val="000000" w:themeColor="text1"/>
                <w:shd w:val="clear" w:color="auto" w:fill="FFFFFF"/>
                <w:lang w:val="sr-Cyrl-RS"/>
              </w:rPr>
              <w:t xml:space="preserve"> Journal of Memory and Language</w:t>
            </w:r>
            <w:r w:rsidRPr="00A25CB5">
              <w:rPr>
                <w:color w:val="000000" w:themeColor="text1"/>
                <w:shd w:val="clear" w:color="auto" w:fill="FFFFFF"/>
                <w:lang w:val="sr-Cyrl-RS"/>
              </w:rPr>
              <w:t xml:space="preserve"> 105: 108–118. DOI: 10.1016/j.jml.2018.12.003. </w:t>
            </w:r>
            <w:bookmarkStart w:id="1" w:name="_Hlk14015708"/>
            <w:r w:rsidRPr="00A25CB5">
              <w:rPr>
                <w:color w:val="000000" w:themeColor="text1"/>
                <w:lang w:val="sr-Cyrl-RS"/>
              </w:rPr>
              <w:t>ISSN: 0749-596X</w:t>
            </w:r>
            <w:bookmarkEnd w:id="1"/>
            <w:r w:rsidRPr="00A25CB5">
              <w:rPr>
                <w:color w:val="000000" w:themeColor="text1"/>
                <w:lang w:val="sr-Cyrl-RS"/>
              </w:rPr>
              <w:t>, IF (2018): 3.858, 5YIF (2018): 5.763.</w:t>
            </w:r>
          </w:p>
        </w:tc>
        <w:tc>
          <w:tcPr>
            <w:tcW w:w="1061" w:type="dxa"/>
            <w:gridSpan w:val="2"/>
            <w:vAlign w:val="center"/>
          </w:tcPr>
          <w:p w14:paraId="7EC02243" w14:textId="52576D5A" w:rsidR="00113816" w:rsidRPr="00A25CB5" w:rsidRDefault="00113816" w:rsidP="00DB47CA">
            <w:pPr>
              <w:jc w:val="center"/>
              <w:rPr>
                <w:lang w:val="sr-Cyrl-RS"/>
              </w:rPr>
            </w:pPr>
            <w:r w:rsidRPr="00A25CB5">
              <w:rPr>
                <w:lang w:val="sr-Cyrl-RS"/>
              </w:rPr>
              <w:t>M21a</w:t>
            </w:r>
          </w:p>
        </w:tc>
      </w:tr>
      <w:tr w:rsidR="00113816" w:rsidRPr="006B77E8" w14:paraId="2103EAAB" w14:textId="77777777" w:rsidTr="00D22A91">
        <w:trPr>
          <w:trHeight w:val="340"/>
          <w:jc w:val="center"/>
        </w:trPr>
        <w:tc>
          <w:tcPr>
            <w:tcW w:w="547" w:type="dxa"/>
            <w:shd w:val="clear" w:color="auto" w:fill="F3F3F3"/>
            <w:vAlign w:val="center"/>
          </w:tcPr>
          <w:p w14:paraId="1A587597" w14:textId="77777777" w:rsidR="00113816" w:rsidRPr="006B77E8" w:rsidRDefault="00113816" w:rsidP="00113816">
            <w:pPr>
              <w:jc w:val="center"/>
              <w:rPr>
                <w:sz w:val="18"/>
                <w:szCs w:val="18"/>
                <w:lang w:val="sr-Cyrl-RS"/>
              </w:rPr>
            </w:pPr>
            <w:r w:rsidRPr="006B77E8">
              <w:rPr>
                <w:sz w:val="18"/>
                <w:szCs w:val="18"/>
                <w:lang w:val="sr-Cyrl-RS"/>
              </w:rPr>
              <w:t>2</w:t>
            </w:r>
          </w:p>
        </w:tc>
        <w:tc>
          <w:tcPr>
            <w:tcW w:w="9178" w:type="dxa"/>
            <w:gridSpan w:val="6"/>
            <w:vAlign w:val="center"/>
          </w:tcPr>
          <w:p w14:paraId="4EA3E0F2" w14:textId="7F0AEAF6" w:rsidR="00113816" w:rsidRPr="00A25CB5" w:rsidRDefault="00113816" w:rsidP="00113816">
            <w:pPr>
              <w:rPr>
                <w:lang w:val="sr-Cyrl-RS"/>
              </w:rPr>
            </w:pPr>
            <w:bookmarkStart w:id="2" w:name="_Hlk534398559"/>
            <w:r w:rsidRPr="00A25CB5">
              <w:rPr>
                <w:color w:val="000000" w:themeColor="text1"/>
                <w:lang w:val="sr-Cyrl-RS"/>
              </w:rPr>
              <w:t xml:space="preserve">Holyoak, Keith and </w:t>
            </w:r>
            <w:r w:rsidRPr="00A25CB5">
              <w:rPr>
                <w:b/>
                <w:bCs/>
                <w:color w:val="000000" w:themeColor="text1"/>
                <w:lang w:val="sr-Cyrl-RS"/>
              </w:rPr>
              <w:t xml:space="preserve">Dušan Stamenković </w:t>
            </w:r>
            <w:r w:rsidRPr="00A25CB5">
              <w:rPr>
                <w:color w:val="000000" w:themeColor="text1"/>
                <w:lang w:val="sr-Cyrl-RS"/>
              </w:rPr>
              <w:t>(2018). Metaphor comprehension: A critical review of theories and evidence</w:t>
            </w:r>
            <w:r w:rsidRPr="00A25CB5">
              <w:rPr>
                <w:color w:val="000000" w:themeColor="text1"/>
                <w:shd w:val="clear" w:color="auto" w:fill="FFFFFF"/>
                <w:lang w:val="sr-Cyrl-RS"/>
              </w:rPr>
              <w:t xml:space="preserve">. </w:t>
            </w:r>
            <w:r w:rsidRPr="00A25CB5">
              <w:rPr>
                <w:i/>
                <w:color w:val="000000" w:themeColor="text1"/>
                <w:shd w:val="clear" w:color="auto" w:fill="FFFFFF"/>
                <w:lang w:val="sr-Cyrl-RS"/>
              </w:rPr>
              <w:t>Psychological Bulletin</w:t>
            </w:r>
            <w:r w:rsidRPr="00A25CB5">
              <w:rPr>
                <w:color w:val="000000" w:themeColor="text1"/>
                <w:shd w:val="clear" w:color="auto" w:fill="FFFFFF"/>
                <w:lang w:val="sr-Cyrl-RS"/>
              </w:rPr>
              <w:t xml:space="preserve"> 144 (6): 641–671. DOI: 10.1037/bul0000145, ISSN: 0033-2909, eISSN: 1939-1455. </w:t>
            </w:r>
            <w:r w:rsidRPr="00A25CB5">
              <w:rPr>
                <w:color w:val="000000" w:themeColor="text1"/>
                <w:lang w:val="sr-Cyrl-RS"/>
              </w:rPr>
              <w:t>IF (2018): 16.405, 5YIF (2018): 23.910.</w:t>
            </w:r>
            <w:bookmarkEnd w:id="2"/>
          </w:p>
        </w:tc>
        <w:tc>
          <w:tcPr>
            <w:tcW w:w="1061" w:type="dxa"/>
            <w:gridSpan w:val="2"/>
            <w:vAlign w:val="center"/>
          </w:tcPr>
          <w:p w14:paraId="7FF97B80" w14:textId="60E4EB55" w:rsidR="00113816" w:rsidRPr="00A25CB5" w:rsidRDefault="00113816" w:rsidP="00DB47CA">
            <w:pPr>
              <w:jc w:val="center"/>
              <w:rPr>
                <w:lang w:val="sr-Cyrl-RS"/>
              </w:rPr>
            </w:pPr>
            <w:r w:rsidRPr="00A25CB5">
              <w:rPr>
                <w:lang w:val="sr-Cyrl-RS"/>
              </w:rPr>
              <w:t>M21a</w:t>
            </w:r>
          </w:p>
        </w:tc>
      </w:tr>
      <w:tr w:rsidR="00113816" w:rsidRPr="006B77E8" w14:paraId="0DE1457E" w14:textId="77777777" w:rsidTr="00D22A91">
        <w:trPr>
          <w:trHeight w:val="340"/>
          <w:jc w:val="center"/>
        </w:trPr>
        <w:tc>
          <w:tcPr>
            <w:tcW w:w="547" w:type="dxa"/>
            <w:shd w:val="clear" w:color="auto" w:fill="F3F3F3"/>
            <w:vAlign w:val="center"/>
          </w:tcPr>
          <w:p w14:paraId="2E4E5DB1" w14:textId="77777777" w:rsidR="00113816" w:rsidRPr="006B77E8" w:rsidRDefault="00113816" w:rsidP="00113816">
            <w:pPr>
              <w:jc w:val="center"/>
              <w:rPr>
                <w:sz w:val="18"/>
                <w:szCs w:val="18"/>
                <w:lang w:val="sr-Cyrl-RS"/>
              </w:rPr>
            </w:pPr>
            <w:r w:rsidRPr="006B77E8">
              <w:rPr>
                <w:sz w:val="18"/>
                <w:szCs w:val="18"/>
                <w:lang w:val="sr-Cyrl-RS"/>
              </w:rPr>
              <w:t>3</w:t>
            </w:r>
          </w:p>
        </w:tc>
        <w:tc>
          <w:tcPr>
            <w:tcW w:w="9178" w:type="dxa"/>
            <w:gridSpan w:val="6"/>
            <w:vAlign w:val="center"/>
          </w:tcPr>
          <w:p w14:paraId="0F6D124A" w14:textId="49250168" w:rsidR="00113816" w:rsidRPr="00A25CB5" w:rsidRDefault="00113816" w:rsidP="00113816">
            <w:pPr>
              <w:rPr>
                <w:lang w:val="sr-Cyrl-RS"/>
              </w:rPr>
            </w:pPr>
            <w:bookmarkStart w:id="3" w:name="_Hlk534398611"/>
            <w:r w:rsidRPr="00A25CB5">
              <w:rPr>
                <w:b/>
                <w:bCs/>
                <w:color w:val="000000" w:themeColor="text1"/>
                <w:lang w:val="sr-Cyrl-RS"/>
              </w:rPr>
              <w:t xml:space="preserve">Стаменковић, Душан </w:t>
            </w:r>
            <w:r w:rsidRPr="00A25CB5">
              <w:rPr>
                <w:color w:val="000000" w:themeColor="text1"/>
                <w:lang w:val="sr-Cyrl-RS"/>
              </w:rPr>
              <w:t xml:space="preserve">(2018). Психолингвистички приступи истраживању поимања времена помоћу просторних елемената. У: Лопичић, Весна и Биљана </w:t>
            </w:r>
            <w:r w:rsidRPr="00A25CB5">
              <w:rPr>
                <w:noProof/>
                <w:color w:val="000000" w:themeColor="text1"/>
                <w:lang w:val="sr-Cyrl-RS"/>
              </w:rPr>
              <w:t xml:space="preserve">Мишић Илић (ур.). </w:t>
            </w:r>
            <w:r w:rsidRPr="00A25CB5">
              <w:rPr>
                <w:i/>
                <w:noProof/>
                <w:color w:val="000000" w:themeColor="text1"/>
                <w:lang w:val="sr-Cyrl-RS"/>
              </w:rPr>
              <w:t>Језик, књижевност, простор</w:t>
            </w:r>
            <w:r w:rsidRPr="00A25CB5">
              <w:rPr>
                <w:noProof/>
                <w:color w:val="000000" w:themeColor="text1"/>
                <w:lang w:val="sr-Cyrl-RS"/>
              </w:rPr>
              <w:t>: 495–504. Ниш: Филозофски факултет.</w:t>
            </w:r>
            <w:r w:rsidRPr="00A25CB5">
              <w:rPr>
                <w:color w:val="000000" w:themeColor="text1"/>
                <w:lang w:val="sr-Cyrl-RS"/>
              </w:rPr>
              <w:t xml:space="preserve"> ISBN 978-86-7379-473-0. UDK 81’23. COBISS.SR-ID 262242572.</w:t>
            </w:r>
            <w:bookmarkEnd w:id="3"/>
          </w:p>
        </w:tc>
        <w:tc>
          <w:tcPr>
            <w:tcW w:w="1061" w:type="dxa"/>
            <w:gridSpan w:val="2"/>
            <w:vAlign w:val="center"/>
          </w:tcPr>
          <w:p w14:paraId="66636331" w14:textId="2BB3D158" w:rsidR="00113816" w:rsidRPr="00A25CB5" w:rsidRDefault="00113816" w:rsidP="00DB47CA">
            <w:pPr>
              <w:jc w:val="center"/>
              <w:rPr>
                <w:lang w:val="sr-Cyrl-RS"/>
              </w:rPr>
            </w:pPr>
            <w:r w:rsidRPr="00A25CB5">
              <w:rPr>
                <w:lang w:val="sr-Cyrl-RS"/>
              </w:rPr>
              <w:t>M14</w:t>
            </w:r>
          </w:p>
        </w:tc>
      </w:tr>
      <w:tr w:rsidR="00113816" w:rsidRPr="006B77E8" w14:paraId="4AE45DA7" w14:textId="77777777" w:rsidTr="00D22A91">
        <w:trPr>
          <w:trHeight w:val="340"/>
          <w:jc w:val="center"/>
        </w:trPr>
        <w:tc>
          <w:tcPr>
            <w:tcW w:w="547" w:type="dxa"/>
            <w:shd w:val="clear" w:color="auto" w:fill="F3F3F3"/>
            <w:vAlign w:val="center"/>
          </w:tcPr>
          <w:p w14:paraId="16339B76" w14:textId="77777777" w:rsidR="00113816" w:rsidRPr="006B77E8" w:rsidRDefault="00113816" w:rsidP="00113816">
            <w:pPr>
              <w:jc w:val="center"/>
              <w:rPr>
                <w:sz w:val="18"/>
                <w:szCs w:val="18"/>
                <w:lang w:val="sr-Cyrl-RS"/>
              </w:rPr>
            </w:pPr>
            <w:r w:rsidRPr="006B77E8">
              <w:rPr>
                <w:sz w:val="18"/>
                <w:szCs w:val="18"/>
                <w:lang w:val="sr-Cyrl-RS"/>
              </w:rPr>
              <w:lastRenderedPageBreak/>
              <w:t>4</w:t>
            </w:r>
          </w:p>
        </w:tc>
        <w:tc>
          <w:tcPr>
            <w:tcW w:w="9178" w:type="dxa"/>
            <w:gridSpan w:val="6"/>
            <w:vAlign w:val="center"/>
          </w:tcPr>
          <w:p w14:paraId="54DFC98B" w14:textId="2C72D94A" w:rsidR="00113816" w:rsidRPr="00A25CB5" w:rsidRDefault="00113816" w:rsidP="00113816">
            <w:pPr>
              <w:rPr>
                <w:lang w:val="sr-Cyrl-RS"/>
              </w:rPr>
            </w:pPr>
            <w:r w:rsidRPr="00A25CB5">
              <w:rPr>
                <w:color w:val="000000" w:themeColor="text1"/>
                <w:shd w:val="clear" w:color="auto" w:fill="FFFFFF"/>
                <w:lang w:val="sr-Cyrl-RS"/>
              </w:rPr>
              <w:t xml:space="preserve">Stojičić, Violeta and </w:t>
            </w:r>
            <w:r w:rsidRPr="00A25CB5">
              <w:rPr>
                <w:b/>
                <w:bCs/>
                <w:color w:val="000000" w:themeColor="text1"/>
                <w:shd w:val="clear" w:color="auto" w:fill="FFFFFF"/>
                <w:lang w:val="sr-Cyrl-RS"/>
              </w:rPr>
              <w:t>Dušan Stamenković</w:t>
            </w:r>
            <w:r w:rsidRPr="00A25CB5">
              <w:rPr>
                <w:color w:val="000000" w:themeColor="text1"/>
                <w:shd w:val="clear" w:color="auto" w:fill="FFFFFF"/>
                <w:lang w:val="sr-Cyrl-RS"/>
              </w:rPr>
              <w:t xml:space="preserve"> (2017). Ontological metaphor in verb and abstract noun collocations in Serbian: A sample analysis. </w:t>
            </w:r>
            <w:r w:rsidRPr="00A25CB5">
              <w:rPr>
                <w:i/>
                <w:color w:val="000000" w:themeColor="text1"/>
                <w:shd w:val="clear" w:color="auto" w:fill="FFFFFF"/>
                <w:lang w:val="sr-Cyrl-RS"/>
              </w:rPr>
              <w:t>Scando-Slavica</w:t>
            </w:r>
            <w:r w:rsidRPr="00A25CB5">
              <w:rPr>
                <w:color w:val="000000" w:themeColor="text1"/>
                <w:shd w:val="clear" w:color="auto" w:fill="FFFFFF"/>
                <w:lang w:val="sr-Cyrl-RS"/>
              </w:rPr>
              <w:t xml:space="preserve"> 63 (2): 198–211. DOI: 10.1080/00806765.2017.1390937, ISSN </w:t>
            </w:r>
            <w:r w:rsidRPr="00A25CB5">
              <w:rPr>
                <w:color w:val="000000" w:themeColor="text1"/>
                <w:lang w:val="sr-Cyrl-RS"/>
              </w:rPr>
              <w:t>0080-6765</w:t>
            </w:r>
            <w:r w:rsidRPr="00A25CB5">
              <w:rPr>
                <w:color w:val="000000" w:themeColor="text1"/>
                <w:shd w:val="clear" w:color="auto" w:fill="FFFFFF"/>
                <w:lang w:val="sr-Cyrl-RS"/>
              </w:rPr>
              <w:t xml:space="preserve"> (Print), </w:t>
            </w:r>
            <w:r w:rsidRPr="00A25CB5">
              <w:rPr>
                <w:color w:val="000000" w:themeColor="text1"/>
                <w:lang w:val="sr-Cyrl-RS"/>
              </w:rPr>
              <w:t>1600-082X</w:t>
            </w:r>
            <w:r w:rsidRPr="00A25CB5">
              <w:rPr>
                <w:color w:val="000000" w:themeColor="text1"/>
                <w:shd w:val="clear" w:color="auto" w:fill="FFFFFF"/>
                <w:lang w:val="sr-Cyrl-RS"/>
              </w:rPr>
              <w:t xml:space="preserve"> (Online)</w:t>
            </w:r>
            <w:r w:rsidRPr="00A25CB5">
              <w:rPr>
                <w:color w:val="000000" w:themeColor="text1"/>
                <w:lang w:val="sr-Cyrl-RS"/>
              </w:rPr>
              <w:t>.</w:t>
            </w:r>
          </w:p>
        </w:tc>
        <w:tc>
          <w:tcPr>
            <w:tcW w:w="1061" w:type="dxa"/>
            <w:gridSpan w:val="2"/>
            <w:vAlign w:val="center"/>
          </w:tcPr>
          <w:p w14:paraId="2843C4DF" w14:textId="4D06A7D3" w:rsidR="00113816" w:rsidRPr="00A25CB5" w:rsidRDefault="00113816" w:rsidP="00DB47CA">
            <w:pPr>
              <w:jc w:val="center"/>
              <w:rPr>
                <w:lang w:val="sr-Cyrl-RS"/>
              </w:rPr>
            </w:pPr>
            <w:r w:rsidRPr="00A25CB5">
              <w:rPr>
                <w:lang w:val="sr-Cyrl-RS"/>
              </w:rPr>
              <w:t>M23</w:t>
            </w:r>
          </w:p>
        </w:tc>
      </w:tr>
      <w:tr w:rsidR="00113816" w:rsidRPr="006B77E8" w14:paraId="43A94BBB" w14:textId="77777777" w:rsidTr="00D22A91">
        <w:trPr>
          <w:trHeight w:val="340"/>
          <w:jc w:val="center"/>
        </w:trPr>
        <w:tc>
          <w:tcPr>
            <w:tcW w:w="547" w:type="dxa"/>
            <w:shd w:val="clear" w:color="auto" w:fill="F3F3F3"/>
            <w:vAlign w:val="center"/>
          </w:tcPr>
          <w:p w14:paraId="35E9A3D0" w14:textId="77777777" w:rsidR="00113816" w:rsidRPr="006B77E8" w:rsidRDefault="00113816" w:rsidP="00113816">
            <w:pPr>
              <w:jc w:val="center"/>
              <w:rPr>
                <w:sz w:val="18"/>
                <w:szCs w:val="18"/>
                <w:lang w:val="sr-Cyrl-RS"/>
              </w:rPr>
            </w:pPr>
            <w:r w:rsidRPr="006B77E8">
              <w:rPr>
                <w:sz w:val="18"/>
                <w:szCs w:val="18"/>
                <w:lang w:val="sr-Cyrl-RS"/>
              </w:rPr>
              <w:t>5</w:t>
            </w:r>
          </w:p>
        </w:tc>
        <w:tc>
          <w:tcPr>
            <w:tcW w:w="9178" w:type="dxa"/>
            <w:gridSpan w:val="6"/>
            <w:vAlign w:val="center"/>
          </w:tcPr>
          <w:p w14:paraId="5F3E3BBA" w14:textId="13612F7C" w:rsidR="00113816" w:rsidRPr="00A25CB5" w:rsidRDefault="00113816" w:rsidP="00113816">
            <w:pPr>
              <w:rPr>
                <w:lang w:val="sr-Cyrl-RS"/>
              </w:rPr>
            </w:pPr>
            <w:r w:rsidRPr="00A25CB5">
              <w:rPr>
                <w:noProof/>
                <w:color w:val="000000" w:themeColor="text1"/>
                <w:lang w:val="sr-Cyrl-RS"/>
              </w:rPr>
              <w:t xml:space="preserve">Тасић, Милош и </w:t>
            </w:r>
            <w:r w:rsidRPr="00A25CB5">
              <w:rPr>
                <w:b/>
                <w:bCs/>
                <w:noProof/>
                <w:color w:val="000000" w:themeColor="text1"/>
                <w:lang w:val="sr-Cyrl-RS"/>
              </w:rPr>
              <w:t>Душан Стаменковић</w:t>
            </w:r>
            <w:r w:rsidRPr="00A25CB5">
              <w:rPr>
                <w:noProof/>
                <w:color w:val="000000" w:themeColor="text1"/>
                <w:lang w:val="sr-Cyrl-RS"/>
              </w:rPr>
              <w:t xml:space="preserve"> (2012). Однос метафоре и контекста у когнитивној лингвистици. </w:t>
            </w:r>
            <w:r w:rsidRPr="00A25CB5">
              <w:rPr>
                <w:i/>
                <w:noProof/>
                <w:color w:val="000000" w:themeColor="text1"/>
                <w:lang w:val="sr-Cyrl-RS"/>
              </w:rPr>
              <w:t>Филолог</w:t>
            </w:r>
            <w:r w:rsidRPr="00A25CB5">
              <w:rPr>
                <w:color w:val="000000" w:themeColor="text1"/>
                <w:lang w:val="sr-Cyrl-RS"/>
              </w:rPr>
              <w:t xml:space="preserve"> 5: 234–247. ISSN 2233–1158, UDK 811.163.41’271. DOI: 10.7251/FIL1205234T. </w:t>
            </w:r>
          </w:p>
        </w:tc>
        <w:tc>
          <w:tcPr>
            <w:tcW w:w="1061" w:type="dxa"/>
            <w:gridSpan w:val="2"/>
            <w:vAlign w:val="center"/>
          </w:tcPr>
          <w:p w14:paraId="71862E40" w14:textId="126755C2" w:rsidR="00113816" w:rsidRPr="00A25CB5" w:rsidRDefault="00113816" w:rsidP="00DB47CA">
            <w:pPr>
              <w:jc w:val="center"/>
              <w:rPr>
                <w:lang w:val="sr-Cyrl-RS"/>
              </w:rPr>
            </w:pPr>
            <w:r w:rsidRPr="00A25CB5">
              <w:rPr>
                <w:lang w:val="sr-Cyrl-RS"/>
              </w:rPr>
              <w:t>M52</w:t>
            </w:r>
          </w:p>
        </w:tc>
      </w:tr>
    </w:tbl>
    <w:p w14:paraId="50CB0FC9" w14:textId="77777777" w:rsidR="00EA0590" w:rsidRPr="006B77E8" w:rsidRDefault="00EA0590" w:rsidP="00EA0590">
      <w:pPr>
        <w:rPr>
          <w:vanish/>
          <w:lang w:val="sr-Cyrl-RS"/>
        </w:rPr>
      </w:pP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8086"/>
        <w:gridCol w:w="998"/>
        <w:gridCol w:w="1128"/>
      </w:tblGrid>
      <w:tr w:rsidR="00EA0590" w:rsidRPr="006B77E8" w14:paraId="67BF2A33" w14:textId="77777777" w:rsidTr="00D22A91">
        <w:tc>
          <w:tcPr>
            <w:tcW w:w="10773" w:type="dxa"/>
            <w:gridSpan w:val="4"/>
            <w:shd w:val="clear" w:color="auto" w:fill="D9D9D9"/>
          </w:tcPr>
          <w:p w14:paraId="19297D78" w14:textId="77777777" w:rsidR="00EA0590" w:rsidRPr="006B77E8" w:rsidRDefault="00EA0590" w:rsidP="00D22A91">
            <w:pPr>
              <w:jc w:val="center"/>
              <w:rPr>
                <w:lang w:val="sr-Cyrl-RS"/>
              </w:rPr>
            </w:pPr>
            <w:r w:rsidRPr="006B77E8">
              <w:rPr>
                <w:b/>
                <w:sz w:val="18"/>
                <w:szCs w:val="18"/>
                <w:lang w:val="sr-Cyrl-RS" w:eastAsia="sr-Latn-RS"/>
              </w:rPr>
              <w:t>Менторства у последње три године</w:t>
            </w:r>
          </w:p>
        </w:tc>
      </w:tr>
      <w:tr w:rsidR="00EA0590" w:rsidRPr="006B77E8" w14:paraId="1DDF74D9" w14:textId="77777777" w:rsidTr="00D22A91">
        <w:tc>
          <w:tcPr>
            <w:tcW w:w="561" w:type="dxa"/>
            <w:shd w:val="clear" w:color="auto" w:fill="D9D9D9"/>
            <w:vAlign w:val="center"/>
          </w:tcPr>
          <w:p w14:paraId="2BC2DCEA" w14:textId="6E587716" w:rsidR="00EA0590" w:rsidRPr="006B77E8" w:rsidRDefault="00EA0590" w:rsidP="00D22A91">
            <w:pPr>
              <w:spacing w:before="100" w:beforeAutospacing="1" w:after="100" w:afterAutospacing="1" w:line="157" w:lineRule="atLeast"/>
              <w:ind w:left="-102" w:right="-105"/>
              <w:rPr>
                <w:lang w:val="sr-Cyrl-RS" w:eastAsia="sr-Latn-RS"/>
              </w:rPr>
            </w:pPr>
            <w:r w:rsidRPr="006B77E8">
              <w:rPr>
                <w:b/>
                <w:sz w:val="18"/>
                <w:szCs w:val="18"/>
                <w:lang w:val="sr-Cyrl-RS" w:eastAsia="sr-Latn-RS"/>
              </w:rPr>
              <w:t xml:space="preserve">Р. </w:t>
            </w:r>
            <w:r w:rsidRPr="006B77E8">
              <w:rPr>
                <w:rFonts w:ascii="Calibri" w:hAnsi="Calibri"/>
                <w:b/>
                <w:sz w:val="18"/>
                <w:szCs w:val="18"/>
                <w:lang w:val="sr-Cyrl-RS" w:eastAsia="sr-Latn-RS"/>
              </w:rPr>
              <w:t>б</w:t>
            </w:r>
            <w:r w:rsidRPr="006B77E8">
              <w:rPr>
                <w:b/>
                <w:sz w:val="18"/>
                <w:szCs w:val="18"/>
                <w:lang w:val="sr-Cyrl-RS" w:eastAsia="sr-Latn-RS"/>
              </w:rPr>
              <w:t>р.</w:t>
            </w:r>
          </w:p>
        </w:tc>
        <w:tc>
          <w:tcPr>
            <w:tcW w:w="8086" w:type="dxa"/>
            <w:shd w:val="clear" w:color="auto" w:fill="D9D9D9"/>
            <w:vAlign w:val="center"/>
          </w:tcPr>
          <w:p w14:paraId="6DA1D68B" w14:textId="77777777" w:rsidR="00EA0590" w:rsidRPr="006B77E8" w:rsidRDefault="00EA0590" w:rsidP="00D22A91">
            <w:pPr>
              <w:spacing w:before="100" w:beforeAutospacing="1" w:after="100" w:afterAutospacing="1" w:line="157" w:lineRule="atLeast"/>
              <w:jc w:val="center"/>
              <w:rPr>
                <w:highlight w:val="yellow"/>
                <w:lang w:val="sr-Cyrl-RS" w:eastAsia="sr-Latn-RS"/>
              </w:rPr>
            </w:pPr>
            <w:r w:rsidRPr="006B77E8">
              <w:rPr>
                <w:b/>
                <w:sz w:val="18"/>
                <w:szCs w:val="18"/>
                <w:lang w:val="sr-Cyrl-RS" w:eastAsia="sr-Latn-RS"/>
              </w:rPr>
              <w:t>Име и презиме докторанда, тема докторске дисертације, факултет/универзитет</w:t>
            </w:r>
          </w:p>
        </w:tc>
        <w:tc>
          <w:tcPr>
            <w:tcW w:w="998" w:type="dxa"/>
            <w:shd w:val="clear" w:color="auto" w:fill="D9D9D9"/>
            <w:vAlign w:val="center"/>
          </w:tcPr>
          <w:p w14:paraId="74B09505" w14:textId="77777777" w:rsidR="00EA0590" w:rsidRPr="006B77E8" w:rsidRDefault="00EA0590" w:rsidP="00D22A91">
            <w:pPr>
              <w:spacing w:before="100" w:beforeAutospacing="1" w:after="100" w:afterAutospacing="1" w:line="157" w:lineRule="atLeast"/>
              <w:jc w:val="center"/>
              <w:rPr>
                <w:lang w:val="sr-Cyrl-RS" w:eastAsia="sr-Latn-RS"/>
              </w:rPr>
            </w:pPr>
            <w:r w:rsidRPr="006B77E8">
              <w:rPr>
                <w:b/>
                <w:sz w:val="18"/>
                <w:szCs w:val="18"/>
                <w:lang w:val="sr-Cyrl-RS" w:eastAsia="sr-Latn-RS"/>
              </w:rPr>
              <w:t>Датум именов.</w:t>
            </w:r>
          </w:p>
        </w:tc>
        <w:tc>
          <w:tcPr>
            <w:tcW w:w="1128" w:type="dxa"/>
            <w:shd w:val="clear" w:color="auto" w:fill="D9D9D9"/>
          </w:tcPr>
          <w:p w14:paraId="3551CAD7" w14:textId="77777777" w:rsidR="00EA0590" w:rsidRPr="006B77E8" w:rsidRDefault="00EA0590" w:rsidP="00D22A91">
            <w:pPr>
              <w:spacing w:before="100" w:beforeAutospacing="1" w:after="100" w:afterAutospacing="1" w:line="157" w:lineRule="atLeast"/>
              <w:jc w:val="center"/>
              <w:rPr>
                <w:b/>
                <w:sz w:val="18"/>
                <w:szCs w:val="18"/>
                <w:lang w:val="sr-Cyrl-RS" w:eastAsia="sr-Latn-RS"/>
              </w:rPr>
            </w:pPr>
            <w:r w:rsidRPr="006B77E8">
              <w:rPr>
                <w:b/>
                <w:sz w:val="18"/>
                <w:szCs w:val="18"/>
                <w:lang w:val="sr-Cyrl-RS" w:eastAsia="sr-Latn-RS"/>
              </w:rPr>
              <w:t>Датум одбране</w:t>
            </w:r>
          </w:p>
        </w:tc>
      </w:tr>
      <w:tr w:rsidR="00EA0590" w:rsidRPr="006B77E8" w14:paraId="43A726EC" w14:textId="77777777" w:rsidTr="00D22A91">
        <w:tc>
          <w:tcPr>
            <w:tcW w:w="561" w:type="dxa"/>
            <w:shd w:val="clear" w:color="auto" w:fill="D9D9D9"/>
          </w:tcPr>
          <w:p w14:paraId="20925B09" w14:textId="77777777" w:rsidR="00EA0590" w:rsidRPr="006B77E8" w:rsidRDefault="00EA0590" w:rsidP="00D22A91">
            <w:pPr>
              <w:rPr>
                <w:rFonts w:ascii="Calibri" w:hAnsi="Calibri"/>
                <w:lang w:val="sr-Cyrl-RS"/>
              </w:rPr>
            </w:pPr>
            <w:r w:rsidRPr="006B77E8">
              <w:rPr>
                <w:rFonts w:ascii="Calibri" w:hAnsi="Calibri"/>
                <w:lang w:val="sr-Cyrl-RS"/>
              </w:rPr>
              <w:t>1.</w:t>
            </w:r>
          </w:p>
        </w:tc>
        <w:tc>
          <w:tcPr>
            <w:tcW w:w="8086" w:type="dxa"/>
            <w:shd w:val="clear" w:color="auto" w:fill="auto"/>
          </w:tcPr>
          <w:p w14:paraId="29BB3692" w14:textId="69F66B63" w:rsidR="00EA0590" w:rsidRPr="006B77E8" w:rsidRDefault="00113816" w:rsidP="00D22A91">
            <w:pPr>
              <w:rPr>
                <w:highlight w:val="yellow"/>
                <w:lang w:val="sr-Cyrl-RS"/>
              </w:rPr>
            </w:pPr>
            <w:r w:rsidRPr="006B77E8">
              <w:rPr>
                <w:lang w:val="sr-Cyrl-RS"/>
              </w:rPr>
              <w:t>Ово је прво менторство</w:t>
            </w:r>
          </w:p>
        </w:tc>
        <w:tc>
          <w:tcPr>
            <w:tcW w:w="998" w:type="dxa"/>
            <w:shd w:val="clear" w:color="auto" w:fill="auto"/>
          </w:tcPr>
          <w:p w14:paraId="0E2951C3" w14:textId="2D829BB1" w:rsidR="00EA0590" w:rsidRPr="006B77E8" w:rsidRDefault="00113816" w:rsidP="00D22A91">
            <w:pPr>
              <w:rPr>
                <w:lang w:val="sr-Cyrl-RS"/>
              </w:rPr>
            </w:pPr>
            <w:r w:rsidRPr="006B77E8">
              <w:rPr>
                <w:lang w:val="sr-Cyrl-RS"/>
              </w:rPr>
              <w:t>-</w:t>
            </w:r>
          </w:p>
        </w:tc>
        <w:tc>
          <w:tcPr>
            <w:tcW w:w="1128" w:type="dxa"/>
            <w:shd w:val="clear" w:color="auto" w:fill="auto"/>
          </w:tcPr>
          <w:p w14:paraId="62326DB2" w14:textId="069BB044" w:rsidR="00EA0590" w:rsidRPr="006B77E8" w:rsidRDefault="00113816" w:rsidP="00D22A91">
            <w:pPr>
              <w:rPr>
                <w:lang w:val="sr-Cyrl-RS"/>
              </w:rPr>
            </w:pPr>
            <w:r w:rsidRPr="006B77E8">
              <w:rPr>
                <w:lang w:val="sr-Cyrl-RS"/>
              </w:rPr>
              <w:t>-</w:t>
            </w:r>
          </w:p>
        </w:tc>
      </w:tr>
    </w:tbl>
    <w:p w14:paraId="57C93522" w14:textId="77777777" w:rsidR="00EA0590" w:rsidRPr="006B77E8" w:rsidRDefault="00EA0590" w:rsidP="00EA0590">
      <w:pPr>
        <w:rPr>
          <w:vanish/>
          <w:lang w:val="sr-Cyrl-RS"/>
        </w:rPr>
      </w:pPr>
    </w:p>
    <w:tbl>
      <w:tblPr>
        <w:tblW w:w="10786" w:type="dxa"/>
        <w:jc w:val="center"/>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CellMar>
          <w:left w:w="28" w:type="dxa"/>
          <w:right w:w="28" w:type="dxa"/>
        </w:tblCellMar>
        <w:tblLook w:val="01E0" w:firstRow="1" w:lastRow="1" w:firstColumn="1" w:lastColumn="1" w:noHBand="0" w:noVBand="0"/>
      </w:tblPr>
      <w:tblGrid>
        <w:gridCol w:w="366"/>
        <w:gridCol w:w="181"/>
        <w:gridCol w:w="1799"/>
        <w:gridCol w:w="1080"/>
        <w:gridCol w:w="538"/>
        <w:gridCol w:w="2835"/>
        <w:gridCol w:w="46"/>
        <w:gridCol w:w="1620"/>
        <w:gridCol w:w="1260"/>
        <w:gridCol w:w="540"/>
        <w:gridCol w:w="521"/>
      </w:tblGrid>
      <w:tr w:rsidR="00EA0590" w:rsidRPr="006B77E8" w14:paraId="6B65F033" w14:textId="77777777" w:rsidTr="00D22A91">
        <w:trPr>
          <w:trHeight w:val="340"/>
          <w:jc w:val="center"/>
        </w:trPr>
        <w:tc>
          <w:tcPr>
            <w:tcW w:w="9725" w:type="dxa"/>
            <w:gridSpan w:val="9"/>
            <w:tcBorders>
              <w:bottom w:val="single" w:sz="4" w:space="0" w:color="C0C0C0"/>
            </w:tcBorders>
            <w:shd w:val="clear" w:color="auto" w:fill="F3F3F3"/>
            <w:vAlign w:val="center"/>
          </w:tcPr>
          <w:p w14:paraId="5D084F83" w14:textId="77777777" w:rsidR="00EA0590" w:rsidRPr="006B77E8" w:rsidRDefault="00EA0590" w:rsidP="00D22A91">
            <w:pPr>
              <w:rPr>
                <w:b/>
                <w:sz w:val="20"/>
                <w:szCs w:val="20"/>
                <w:lang w:val="sr-Cyrl-RS"/>
              </w:rPr>
            </w:pPr>
            <w:r w:rsidRPr="006B77E8">
              <w:rPr>
                <w:b/>
                <w:sz w:val="20"/>
                <w:szCs w:val="20"/>
                <w:lang w:val="sr-Cyrl-RS"/>
              </w:rPr>
              <w:t>Ментор испуњава услове предвиђене Законом о високом образовању, Статутом Универзитета и Статутом Факултета</w:t>
            </w:r>
          </w:p>
        </w:tc>
        <w:tc>
          <w:tcPr>
            <w:tcW w:w="540" w:type="dxa"/>
            <w:tcBorders>
              <w:bottom w:val="single" w:sz="4" w:space="0" w:color="C0C0C0"/>
            </w:tcBorders>
            <w:shd w:val="clear" w:color="auto" w:fill="F3F3F3"/>
            <w:vAlign w:val="center"/>
          </w:tcPr>
          <w:p w14:paraId="22DF3F97" w14:textId="77777777" w:rsidR="00EA0590" w:rsidRPr="006B77E8" w:rsidRDefault="00EA0590" w:rsidP="00D22A91">
            <w:pPr>
              <w:jc w:val="center"/>
              <w:rPr>
                <w:b/>
                <w:sz w:val="20"/>
                <w:szCs w:val="20"/>
                <w:u w:val="single"/>
                <w:lang w:val="sr-Cyrl-RS"/>
              </w:rPr>
            </w:pPr>
            <w:r w:rsidRPr="006B77E8">
              <w:rPr>
                <w:b/>
                <w:sz w:val="20"/>
                <w:szCs w:val="20"/>
                <w:u w:val="single"/>
                <w:lang w:val="sr-Cyrl-RS"/>
              </w:rPr>
              <w:t>ДА</w:t>
            </w:r>
          </w:p>
        </w:tc>
        <w:tc>
          <w:tcPr>
            <w:tcW w:w="521" w:type="dxa"/>
            <w:tcBorders>
              <w:bottom w:val="single" w:sz="4" w:space="0" w:color="C0C0C0"/>
            </w:tcBorders>
            <w:shd w:val="clear" w:color="auto" w:fill="F3F3F3"/>
            <w:vAlign w:val="center"/>
          </w:tcPr>
          <w:p w14:paraId="69974604" w14:textId="77777777" w:rsidR="00EA0590" w:rsidRPr="006B77E8" w:rsidRDefault="00EA0590" w:rsidP="00D22A91">
            <w:pPr>
              <w:jc w:val="center"/>
              <w:rPr>
                <w:b/>
                <w:sz w:val="20"/>
                <w:szCs w:val="20"/>
                <w:lang w:val="sr-Cyrl-RS"/>
              </w:rPr>
            </w:pPr>
            <w:r w:rsidRPr="006B77E8">
              <w:rPr>
                <w:b/>
                <w:sz w:val="20"/>
                <w:szCs w:val="20"/>
                <w:lang w:val="sr-Cyrl-RS"/>
              </w:rPr>
              <w:t>НЕ</w:t>
            </w:r>
          </w:p>
        </w:tc>
      </w:tr>
      <w:tr w:rsidR="00EA0590" w:rsidRPr="006B77E8" w14:paraId="26D82014" w14:textId="77777777" w:rsidTr="00D22A91">
        <w:trPr>
          <w:trHeight w:val="340"/>
          <w:jc w:val="center"/>
        </w:trPr>
        <w:tc>
          <w:tcPr>
            <w:tcW w:w="10786" w:type="dxa"/>
            <w:gridSpan w:val="11"/>
            <w:shd w:val="clear" w:color="auto" w:fill="auto"/>
            <w:vAlign w:val="center"/>
          </w:tcPr>
          <w:p w14:paraId="40BCD22F" w14:textId="16AB463C" w:rsidR="00C5301B" w:rsidRPr="00205631" w:rsidRDefault="001471F7" w:rsidP="00A25CB5">
            <w:pPr>
              <w:rPr>
                <w:iCs/>
                <w:color w:val="000000" w:themeColor="text1"/>
                <w:lang w:val="sr-Cyrl-RS"/>
              </w:rPr>
            </w:pPr>
            <w:r>
              <w:rPr>
                <w:iCs/>
                <w:color w:val="000000" w:themeColor="text1"/>
                <w:lang w:val="sr-Cyrl-RS"/>
              </w:rPr>
              <w:tab/>
            </w:r>
            <w:r w:rsidR="00C5301B">
              <w:rPr>
                <w:iCs/>
                <w:color w:val="000000" w:themeColor="text1"/>
                <w:lang w:val="sr-Cyrl-RS"/>
              </w:rPr>
              <w:t>Према</w:t>
            </w:r>
            <w:r w:rsidR="00A25CB5" w:rsidRPr="00A25CB5">
              <w:rPr>
                <w:iCs/>
                <w:color w:val="000000" w:themeColor="text1"/>
                <w:lang w:val="sr-Cyrl-RS"/>
              </w:rPr>
              <w:t xml:space="preserve"> условима </w:t>
            </w:r>
            <w:r w:rsidR="00205631">
              <w:rPr>
                <w:iCs/>
                <w:color w:val="000000" w:themeColor="text1"/>
                <w:lang w:val="sr-Cyrl-RS"/>
              </w:rPr>
              <w:t xml:space="preserve">дефинисаним </w:t>
            </w:r>
            <w:r w:rsidR="00A25CB5" w:rsidRPr="00A25CB5">
              <w:rPr>
                <w:iCs/>
                <w:color w:val="000000" w:themeColor="text1"/>
                <w:lang w:val="sr-Cyrl-RS"/>
              </w:rPr>
              <w:t>у чл. 13 Правилника о поступку припреме и условима за одбрану докторске дисертације Универзитета у Нишу од 4. 6. 2018. године (СНУ број 8/16-01-005/18-014), ментор докторске дисертације у пољу друштвено-хуманистичких наука – у претходних десет година мора да има остварена најмање 24 бода, и то: најмање 4 бода за рад у часопису са листа SSCI или SSCIe, SCI или SCIe, ERIH, HEINONLINE, ECOLIBRI и EconLit или у часопису категорије М24 и најмање 20 бодова за радове у категоријама: M11, М12, М13, М14, М21, М22, М23, М24, М31, М32, М33, М34 и М51. Радови категорије М31, М32, М33 и М34, доносе највише 20% потребних бодова.</w:t>
            </w:r>
            <w:r w:rsidR="00205631">
              <w:rPr>
                <w:iCs/>
                <w:color w:val="000000" w:themeColor="text1"/>
                <w:lang w:val="sr-Cyrl-RS"/>
              </w:rPr>
              <w:t xml:space="preserve"> </w:t>
            </w:r>
            <w:r w:rsidR="00A25CB5" w:rsidRPr="00A25CB5">
              <w:rPr>
                <w:iCs/>
                <w:color w:val="000000" w:themeColor="text1"/>
                <w:lang w:val="sr-Cyrl-RS"/>
              </w:rPr>
              <w:t>Проф. др Душан Стаменковић у претходних 10 година има 1 рад категорије М13, 11 радова категорије М14, 2 рада категорије М21а, 2 рада категорије М22, 8 радова категорије М23, 7 радова категорије М24, 7 радова категорије М33, 4 рада категорије М34 и 8 радова категорије М51, при чему има укупно 185 бодова у категоријама које се рачунају (минимум је 24).</w:t>
            </w:r>
            <w:r w:rsidR="00D41E43">
              <w:rPr>
                <w:iCs/>
                <w:color w:val="000000" w:themeColor="text1"/>
                <w:lang w:val="sr-Cyrl-RS"/>
              </w:rPr>
              <w:t xml:space="preserve"> П</w:t>
            </w:r>
            <w:r w:rsidR="00A25CB5" w:rsidRPr="00A25CB5">
              <w:rPr>
                <w:iCs/>
                <w:color w:val="000000" w:themeColor="text1"/>
                <w:lang w:val="sr-Cyrl-RS"/>
              </w:rPr>
              <w:t>рву ставку (где је минимум 4 бода) задовољавају радови који укупно имају 90 бодова, а другу ставку радови са укупно 185 бодова, при чему радови из категорија М33 и М51 носе укупно 11 бодова, што је око 6% у односу на збир. Радови проф. др Стаменковића се тематски у великој мери поклапају са темом предложене докторске дисертације. Ово значи да проф. др Душан Стаменковић у потпуности испуњава предвиђене услове да буде ментор ове докторске дисертације.</w:t>
            </w:r>
          </w:p>
        </w:tc>
      </w:tr>
      <w:tr w:rsidR="00EA0590" w:rsidRPr="006B77E8" w14:paraId="38543E40" w14:textId="77777777" w:rsidTr="00D22A91">
        <w:trPr>
          <w:trHeight w:val="340"/>
          <w:jc w:val="center"/>
        </w:trPr>
        <w:tc>
          <w:tcPr>
            <w:tcW w:w="10786" w:type="dxa"/>
            <w:gridSpan w:val="11"/>
            <w:shd w:val="clear" w:color="auto" w:fill="D9D9D9"/>
            <w:vAlign w:val="center"/>
          </w:tcPr>
          <w:p w14:paraId="4C537249" w14:textId="77777777" w:rsidR="00EA0590" w:rsidRPr="006B77E8" w:rsidRDefault="00EA0590" w:rsidP="00D22A91">
            <w:pPr>
              <w:jc w:val="center"/>
              <w:rPr>
                <w:b/>
                <w:lang w:val="sr-Cyrl-RS"/>
              </w:rPr>
            </w:pPr>
            <w:r w:rsidRPr="006B77E8">
              <w:rPr>
                <w:b/>
                <w:lang w:val="sr-Cyrl-RS"/>
              </w:rPr>
              <w:t xml:space="preserve">ОБРАЗЛОЖЕЊЕ ТЕМЕ </w:t>
            </w:r>
          </w:p>
        </w:tc>
      </w:tr>
      <w:tr w:rsidR="00EA0590" w:rsidRPr="006B77E8" w14:paraId="63E77C29" w14:textId="77777777" w:rsidTr="00D22A91">
        <w:trPr>
          <w:trHeight w:val="340"/>
          <w:jc w:val="center"/>
        </w:trPr>
        <w:tc>
          <w:tcPr>
            <w:tcW w:w="2346" w:type="dxa"/>
            <w:gridSpan w:val="3"/>
            <w:shd w:val="clear" w:color="auto" w:fill="F3F3F3"/>
            <w:vAlign w:val="center"/>
          </w:tcPr>
          <w:p w14:paraId="12E4EE07" w14:textId="77777777" w:rsidR="00EA0590" w:rsidRPr="006B77E8" w:rsidRDefault="00EA0590" w:rsidP="00D22A91">
            <w:pPr>
              <w:rPr>
                <w:sz w:val="18"/>
                <w:szCs w:val="18"/>
                <w:lang w:val="sr-Cyrl-RS"/>
              </w:rPr>
            </w:pPr>
            <w:r w:rsidRPr="006B77E8">
              <w:rPr>
                <w:rFonts w:eastAsia="TimesNewRomanPS-BoldMT"/>
                <w:sz w:val="18"/>
                <w:szCs w:val="18"/>
                <w:lang w:val="sr-Cyrl-RS"/>
              </w:rPr>
              <w:t>Предлог наслова теме докторске дисертације</w:t>
            </w:r>
          </w:p>
        </w:tc>
        <w:tc>
          <w:tcPr>
            <w:tcW w:w="8440" w:type="dxa"/>
            <w:gridSpan w:val="8"/>
            <w:vAlign w:val="center"/>
          </w:tcPr>
          <w:p w14:paraId="550D160C" w14:textId="77777777" w:rsidR="00EA0590" w:rsidRPr="006B77E8" w:rsidRDefault="00113816" w:rsidP="00D22A91">
            <w:pPr>
              <w:rPr>
                <w:i/>
                <w:iCs/>
                <w:lang w:val="sr-Cyrl-RS"/>
              </w:rPr>
            </w:pPr>
            <w:r w:rsidRPr="006B77E8">
              <w:rPr>
                <w:i/>
                <w:iCs/>
                <w:lang w:val="sr-Cyrl-RS"/>
              </w:rPr>
              <w:t>Однос особина метафоре и њиховог разумевања: психолингвистички приступ</w:t>
            </w:r>
          </w:p>
          <w:p w14:paraId="738C2EAC" w14:textId="43F1E2EC" w:rsidR="00113816" w:rsidRPr="006B77E8" w:rsidRDefault="00113816" w:rsidP="00D22A91">
            <w:pPr>
              <w:rPr>
                <w:lang w:val="sr-Cyrl-RS"/>
              </w:rPr>
            </w:pPr>
            <w:r w:rsidRPr="006B77E8">
              <w:rPr>
                <w:lang w:val="sr-Cyrl-RS"/>
              </w:rPr>
              <w:t>(</w:t>
            </w:r>
            <w:r w:rsidRPr="006B77E8">
              <w:rPr>
                <w:i/>
                <w:iCs/>
                <w:lang w:val="sr-Cyrl-RS"/>
              </w:rPr>
              <w:t>The relation between metaphor features and their comprehension: A psycholinguistic approach</w:t>
            </w:r>
            <w:r w:rsidRPr="006B77E8">
              <w:rPr>
                <w:lang w:val="sr-Cyrl-RS"/>
              </w:rPr>
              <w:t>)</w:t>
            </w:r>
          </w:p>
        </w:tc>
      </w:tr>
      <w:tr w:rsidR="00113816" w:rsidRPr="006B77E8" w14:paraId="1115F99F" w14:textId="77777777" w:rsidTr="00D22A91">
        <w:trPr>
          <w:trHeight w:val="340"/>
          <w:jc w:val="center"/>
        </w:trPr>
        <w:tc>
          <w:tcPr>
            <w:tcW w:w="2346" w:type="dxa"/>
            <w:gridSpan w:val="3"/>
            <w:tcBorders>
              <w:bottom w:val="single" w:sz="4" w:space="0" w:color="C0C0C0"/>
            </w:tcBorders>
            <w:shd w:val="clear" w:color="auto" w:fill="F3F3F3"/>
            <w:vAlign w:val="center"/>
          </w:tcPr>
          <w:p w14:paraId="42931E84" w14:textId="77777777" w:rsidR="00113816" w:rsidRPr="006B77E8" w:rsidRDefault="00113816" w:rsidP="00113816">
            <w:pPr>
              <w:rPr>
                <w:rFonts w:eastAsia="TimesNewRomanPS-BoldMT"/>
                <w:sz w:val="18"/>
                <w:szCs w:val="18"/>
                <w:lang w:val="sr-Cyrl-RS"/>
              </w:rPr>
            </w:pPr>
            <w:r w:rsidRPr="006B77E8">
              <w:rPr>
                <w:rFonts w:eastAsia="TimesNewRomanPS-BoldMT"/>
                <w:sz w:val="18"/>
                <w:szCs w:val="18"/>
                <w:lang w:val="sr-Cyrl-RS"/>
              </w:rPr>
              <w:t>Научно поље</w:t>
            </w:r>
          </w:p>
        </w:tc>
        <w:tc>
          <w:tcPr>
            <w:tcW w:w="8440" w:type="dxa"/>
            <w:gridSpan w:val="8"/>
            <w:tcBorders>
              <w:bottom w:val="single" w:sz="4" w:space="0" w:color="C0C0C0"/>
            </w:tcBorders>
            <w:vAlign w:val="center"/>
          </w:tcPr>
          <w:p w14:paraId="21067DD4" w14:textId="0A787288" w:rsidR="00113816" w:rsidRPr="006B77E8" w:rsidRDefault="00113816" w:rsidP="00113816">
            <w:pPr>
              <w:rPr>
                <w:lang w:val="sr-Cyrl-RS"/>
              </w:rPr>
            </w:pPr>
            <w:r w:rsidRPr="006B77E8">
              <w:rPr>
                <w:lang w:val="sr-Cyrl-RS"/>
              </w:rPr>
              <w:t>Друштвено-хуманистичке науке</w:t>
            </w:r>
          </w:p>
        </w:tc>
      </w:tr>
      <w:tr w:rsidR="00113816" w:rsidRPr="006B77E8" w14:paraId="2C9BF45A" w14:textId="77777777" w:rsidTr="00D22A91">
        <w:trPr>
          <w:trHeight w:val="340"/>
          <w:jc w:val="center"/>
        </w:trPr>
        <w:tc>
          <w:tcPr>
            <w:tcW w:w="2346" w:type="dxa"/>
            <w:gridSpan w:val="3"/>
            <w:tcBorders>
              <w:bottom w:val="single" w:sz="4" w:space="0" w:color="C0C0C0"/>
            </w:tcBorders>
            <w:shd w:val="clear" w:color="auto" w:fill="F3F3F3"/>
            <w:vAlign w:val="center"/>
          </w:tcPr>
          <w:p w14:paraId="131606CE" w14:textId="77777777" w:rsidR="00113816" w:rsidRPr="006B77E8" w:rsidRDefault="00113816" w:rsidP="00113816">
            <w:pPr>
              <w:rPr>
                <w:rFonts w:eastAsia="TimesNewRomanPS-BoldMT"/>
                <w:sz w:val="18"/>
                <w:szCs w:val="18"/>
                <w:lang w:val="sr-Cyrl-RS"/>
              </w:rPr>
            </w:pPr>
            <w:r w:rsidRPr="006B77E8">
              <w:rPr>
                <w:rFonts w:eastAsia="TimesNewRomanPS-BoldMT"/>
                <w:sz w:val="18"/>
                <w:szCs w:val="18"/>
                <w:lang w:val="sr-Cyrl-RS"/>
              </w:rPr>
              <w:t>Научна област</w:t>
            </w:r>
          </w:p>
        </w:tc>
        <w:tc>
          <w:tcPr>
            <w:tcW w:w="8440" w:type="dxa"/>
            <w:gridSpan w:val="8"/>
            <w:tcBorders>
              <w:bottom w:val="single" w:sz="4" w:space="0" w:color="C0C0C0"/>
            </w:tcBorders>
            <w:vAlign w:val="center"/>
          </w:tcPr>
          <w:p w14:paraId="4F0FCF99" w14:textId="49CE7896" w:rsidR="00113816" w:rsidRPr="006B77E8" w:rsidRDefault="00113816" w:rsidP="00113816">
            <w:pPr>
              <w:rPr>
                <w:lang w:val="sr-Cyrl-RS"/>
              </w:rPr>
            </w:pPr>
            <w:r w:rsidRPr="006B77E8">
              <w:rPr>
                <w:lang w:val="sr-Cyrl-RS"/>
              </w:rPr>
              <w:t>Филолошке науке</w:t>
            </w:r>
          </w:p>
        </w:tc>
      </w:tr>
      <w:tr w:rsidR="00113816" w:rsidRPr="006B77E8" w14:paraId="7CBC1F48" w14:textId="77777777" w:rsidTr="00D22A91">
        <w:trPr>
          <w:trHeight w:val="340"/>
          <w:jc w:val="center"/>
        </w:trPr>
        <w:tc>
          <w:tcPr>
            <w:tcW w:w="2346" w:type="dxa"/>
            <w:gridSpan w:val="3"/>
            <w:tcBorders>
              <w:bottom w:val="single" w:sz="4" w:space="0" w:color="C0C0C0"/>
            </w:tcBorders>
            <w:shd w:val="clear" w:color="auto" w:fill="F3F3F3"/>
            <w:vAlign w:val="center"/>
          </w:tcPr>
          <w:p w14:paraId="75F9FD61" w14:textId="77777777" w:rsidR="00113816" w:rsidRPr="006B77E8" w:rsidRDefault="00113816" w:rsidP="00113816">
            <w:pPr>
              <w:rPr>
                <w:rFonts w:eastAsia="TimesNewRomanPS-BoldMT"/>
                <w:sz w:val="18"/>
                <w:szCs w:val="18"/>
                <w:lang w:val="sr-Cyrl-RS"/>
              </w:rPr>
            </w:pPr>
            <w:r w:rsidRPr="006B77E8">
              <w:rPr>
                <w:rFonts w:eastAsia="TimesNewRomanPS-BoldMT"/>
                <w:sz w:val="18"/>
                <w:szCs w:val="18"/>
                <w:lang w:val="sr-Cyrl-RS"/>
              </w:rPr>
              <w:t>Ужа научна област</w:t>
            </w:r>
          </w:p>
        </w:tc>
        <w:tc>
          <w:tcPr>
            <w:tcW w:w="8440" w:type="dxa"/>
            <w:gridSpan w:val="8"/>
            <w:tcBorders>
              <w:bottom w:val="single" w:sz="4" w:space="0" w:color="C0C0C0"/>
            </w:tcBorders>
            <w:vAlign w:val="center"/>
          </w:tcPr>
          <w:p w14:paraId="127A6688" w14:textId="10F500A4" w:rsidR="00113816" w:rsidRPr="006B77E8" w:rsidRDefault="00113816" w:rsidP="00113816">
            <w:pPr>
              <w:rPr>
                <w:lang w:val="sr-Cyrl-RS"/>
              </w:rPr>
            </w:pPr>
            <w:r w:rsidRPr="006B77E8">
              <w:rPr>
                <w:lang w:val="sr-Cyrl-RS"/>
              </w:rPr>
              <w:t>Англистичка лингвистика</w:t>
            </w:r>
          </w:p>
        </w:tc>
      </w:tr>
      <w:tr w:rsidR="00113816" w:rsidRPr="006B77E8" w14:paraId="7B173005" w14:textId="77777777" w:rsidTr="00D22A91">
        <w:trPr>
          <w:trHeight w:val="340"/>
          <w:jc w:val="center"/>
        </w:trPr>
        <w:tc>
          <w:tcPr>
            <w:tcW w:w="2346" w:type="dxa"/>
            <w:gridSpan w:val="3"/>
            <w:tcBorders>
              <w:bottom w:val="single" w:sz="4" w:space="0" w:color="C0C0C0"/>
            </w:tcBorders>
            <w:shd w:val="clear" w:color="auto" w:fill="F3F3F3"/>
            <w:vAlign w:val="center"/>
          </w:tcPr>
          <w:p w14:paraId="58090FFB" w14:textId="77777777" w:rsidR="00113816" w:rsidRPr="006B77E8" w:rsidRDefault="00113816" w:rsidP="00113816">
            <w:pPr>
              <w:rPr>
                <w:rFonts w:eastAsia="TimesNewRomanPS-BoldMT"/>
                <w:sz w:val="18"/>
                <w:szCs w:val="18"/>
                <w:lang w:val="sr-Cyrl-RS"/>
              </w:rPr>
            </w:pPr>
            <w:r w:rsidRPr="006B77E8">
              <w:rPr>
                <w:rFonts w:eastAsia="TimesNewRomanPS-BoldMT"/>
                <w:sz w:val="18"/>
                <w:szCs w:val="18"/>
                <w:lang w:val="sr-Cyrl-RS"/>
              </w:rPr>
              <w:t>Научна дисциплина</w:t>
            </w:r>
          </w:p>
        </w:tc>
        <w:tc>
          <w:tcPr>
            <w:tcW w:w="8440" w:type="dxa"/>
            <w:gridSpan w:val="8"/>
            <w:tcBorders>
              <w:bottom w:val="single" w:sz="4" w:space="0" w:color="C0C0C0"/>
            </w:tcBorders>
            <w:vAlign w:val="center"/>
          </w:tcPr>
          <w:p w14:paraId="6EB6EFB7" w14:textId="22264781" w:rsidR="00113816" w:rsidRPr="006B77E8" w:rsidRDefault="00113816" w:rsidP="00113816">
            <w:pPr>
              <w:rPr>
                <w:lang w:val="sr-Cyrl-RS"/>
              </w:rPr>
            </w:pPr>
            <w:r w:rsidRPr="006B77E8">
              <w:rPr>
                <w:lang w:val="sr-Cyrl-RS"/>
              </w:rPr>
              <w:t>Психолингвистика</w:t>
            </w:r>
          </w:p>
        </w:tc>
      </w:tr>
      <w:tr w:rsidR="00EA0590" w:rsidRPr="006B77E8" w14:paraId="43E16B4B" w14:textId="77777777" w:rsidTr="00D22A91">
        <w:trPr>
          <w:trHeight w:val="227"/>
          <w:jc w:val="center"/>
        </w:trPr>
        <w:tc>
          <w:tcPr>
            <w:tcW w:w="366" w:type="dxa"/>
            <w:shd w:val="clear" w:color="auto" w:fill="F3F3F3"/>
            <w:vAlign w:val="center"/>
          </w:tcPr>
          <w:p w14:paraId="439A296D" w14:textId="77777777" w:rsidR="00EA0590" w:rsidRPr="006B77E8" w:rsidRDefault="00EA0590" w:rsidP="00D22A91">
            <w:pPr>
              <w:jc w:val="center"/>
              <w:rPr>
                <w:rFonts w:eastAsia="TimesNewRomanPS-BoldMT"/>
                <w:lang w:val="sr-Cyrl-RS"/>
              </w:rPr>
            </w:pPr>
            <w:r w:rsidRPr="006B77E8">
              <w:rPr>
                <w:rFonts w:eastAsia="TimesNewRomanPS-BoldMT"/>
                <w:lang w:val="sr-Cyrl-RS"/>
              </w:rPr>
              <w:t>1.</w:t>
            </w:r>
          </w:p>
        </w:tc>
        <w:tc>
          <w:tcPr>
            <w:tcW w:w="10420" w:type="dxa"/>
            <w:gridSpan w:val="10"/>
            <w:shd w:val="clear" w:color="auto" w:fill="F3F3F3"/>
            <w:vAlign w:val="center"/>
          </w:tcPr>
          <w:p w14:paraId="0C340CF3" w14:textId="77777777" w:rsidR="00EA0590" w:rsidRPr="006B77E8" w:rsidRDefault="00EA0590" w:rsidP="00D22A91">
            <w:pPr>
              <w:rPr>
                <w:lang w:val="sr-Cyrl-RS"/>
              </w:rPr>
            </w:pPr>
            <w:r w:rsidRPr="006B77E8">
              <w:rPr>
                <w:lang w:val="sr-Cyrl-RS"/>
              </w:rPr>
              <w:t xml:space="preserve">Предмет научног истраживања </w:t>
            </w:r>
            <w:r w:rsidRPr="006B77E8">
              <w:rPr>
                <w:i/>
                <w:color w:val="808080"/>
                <w:sz w:val="18"/>
                <w:szCs w:val="18"/>
                <w:lang w:val="sr-Cyrl-RS"/>
              </w:rPr>
              <w:t>(до 800 речи)</w:t>
            </w:r>
          </w:p>
        </w:tc>
      </w:tr>
      <w:tr w:rsidR="00EA0590" w:rsidRPr="006B77E8" w14:paraId="11A9CD84" w14:textId="77777777" w:rsidTr="00D22A91">
        <w:trPr>
          <w:trHeight w:val="567"/>
          <w:jc w:val="center"/>
        </w:trPr>
        <w:tc>
          <w:tcPr>
            <w:tcW w:w="10786" w:type="dxa"/>
            <w:gridSpan w:val="11"/>
          </w:tcPr>
          <w:p w14:paraId="39DDEBBF" w14:textId="57799DD5" w:rsidR="001471F7" w:rsidRPr="006B77E8" w:rsidRDefault="001471F7" w:rsidP="00D22A91">
            <w:pPr>
              <w:rPr>
                <w:lang w:val="sr-Cyrl-RS"/>
              </w:rPr>
            </w:pPr>
            <w:r>
              <w:rPr>
                <w:lang w:val="sr-Cyrl-RS"/>
              </w:rPr>
              <w:tab/>
            </w:r>
            <w:r w:rsidR="00D22A91">
              <w:rPr>
                <w:lang w:val="sr-Cyrl-RS"/>
              </w:rPr>
              <w:t>У средишту кандида</w:t>
            </w:r>
            <w:r w:rsidR="00C5301B">
              <w:rPr>
                <w:lang w:val="sr-Cyrl-RS"/>
              </w:rPr>
              <w:t>ткињине</w:t>
            </w:r>
            <w:r w:rsidR="00D22A91">
              <w:rPr>
                <w:lang w:val="sr-Cyrl-RS"/>
              </w:rPr>
              <w:t xml:space="preserve"> замисли налази се психолингвистички приступ истраживању метафоре, као феномена који је деценијама, па и вековима уназад занимљив не само лингвистима, већ и психолозима и филозофима, а у новије време и другим гранама когнитивних наука и неуронаука. И поред многобројних студија метафоре, стиче се утисак да и даље постоје бројна отворена питања везана за поимање метафоре, а једно од њих је то</w:t>
            </w:r>
            <w:r w:rsidR="00D22A91" w:rsidRPr="00D22A91">
              <w:rPr>
                <w:lang w:val="sr-Cyrl-RS"/>
              </w:rPr>
              <w:t xml:space="preserve"> који когнитивни механизам учествује у разумевању метафоре</w:t>
            </w:r>
            <w:r w:rsidR="00D22A91">
              <w:rPr>
                <w:lang w:val="sr-Cyrl-RS"/>
              </w:rPr>
              <w:t>.</w:t>
            </w:r>
            <w:r w:rsidR="00D22A91" w:rsidRPr="00D22A91">
              <w:rPr>
                <w:lang w:val="sr-Cyrl-RS"/>
              </w:rPr>
              <w:t xml:space="preserve"> </w:t>
            </w:r>
            <w:r w:rsidR="00D22A91">
              <w:rPr>
                <w:lang w:val="sr-Cyrl-RS"/>
              </w:rPr>
              <w:t>П</w:t>
            </w:r>
            <w:r w:rsidR="00D22A91" w:rsidRPr="00D22A91">
              <w:rPr>
                <w:lang w:val="sr-Cyrl-RS"/>
              </w:rPr>
              <w:t>остоје три главна теоријска становишта</w:t>
            </w:r>
            <w:r w:rsidR="00D22A91">
              <w:rPr>
                <w:lang w:val="sr-Cyrl-RS"/>
              </w:rPr>
              <w:t xml:space="preserve"> повезана са психолингвистичким приступом метафори</w:t>
            </w:r>
            <w:r w:rsidR="00D22A91" w:rsidRPr="00D22A91">
              <w:rPr>
                <w:lang w:val="sr-Cyrl-RS"/>
              </w:rPr>
              <w:t>: оно које тврди да се метафора заснива на аналошком расуђивању, друго, које тврди да је основни механизам категоризација или појмовна комбинација, док је треће гледиште ближе првом и представља школу појмовне метафоре (</w:t>
            </w:r>
            <w:r w:rsidR="00D22A91">
              <w:rPr>
                <w:lang w:val="sr-Cyrl-RS"/>
              </w:rPr>
              <w:t xml:space="preserve">ови правци су побројани и анализирани у </w:t>
            </w:r>
            <w:r w:rsidR="00D22A91" w:rsidRPr="00D22A91">
              <w:rPr>
                <w:lang w:val="en-US"/>
              </w:rPr>
              <w:t>Holyoak</w:t>
            </w:r>
            <w:r w:rsidR="00D22A91" w:rsidRPr="00D22A91">
              <w:rPr>
                <w:lang w:val="sr-Cyrl-RS"/>
              </w:rPr>
              <w:t xml:space="preserve"> &amp; </w:t>
            </w:r>
            <w:r w:rsidR="00D22A91" w:rsidRPr="00D22A91">
              <w:rPr>
                <w:lang w:val="en-US"/>
              </w:rPr>
              <w:t>Stamenkovi</w:t>
            </w:r>
            <w:r w:rsidR="00D22A91" w:rsidRPr="00D22A91">
              <w:rPr>
                <w:lang w:val="sr-Cyrl-RS"/>
              </w:rPr>
              <w:t>ć, 2018</w:t>
            </w:r>
            <w:r w:rsidR="00D22A91">
              <w:rPr>
                <w:lang w:val="sr-Cyrl-RS"/>
              </w:rPr>
              <w:t xml:space="preserve"> и</w:t>
            </w:r>
            <w:r w:rsidR="00D22A91" w:rsidRPr="00D22A91">
              <w:rPr>
                <w:lang w:val="sr-Cyrl-RS"/>
              </w:rPr>
              <w:t xml:space="preserve"> </w:t>
            </w:r>
            <w:r w:rsidR="00D22A91" w:rsidRPr="00D22A91">
              <w:rPr>
                <w:lang w:val="en-GB"/>
              </w:rPr>
              <w:t>Kert</w:t>
            </w:r>
            <w:r w:rsidR="00D22A91" w:rsidRPr="00D22A91">
              <w:rPr>
                <w:lang w:val="sr-Cyrl-RS"/>
              </w:rPr>
              <w:t>é</w:t>
            </w:r>
            <w:r w:rsidR="00D22A91" w:rsidRPr="00D22A91">
              <w:rPr>
                <w:lang w:val="en-GB"/>
              </w:rPr>
              <w:t>sz</w:t>
            </w:r>
            <w:r w:rsidR="00D22A91" w:rsidRPr="00D22A91">
              <w:rPr>
                <w:lang w:val="sr-Cyrl-RS"/>
              </w:rPr>
              <w:t xml:space="preserve"> </w:t>
            </w:r>
            <w:r w:rsidR="00D22A91" w:rsidRPr="00D22A91">
              <w:rPr>
                <w:lang w:val="en-US"/>
              </w:rPr>
              <w:t>et</w:t>
            </w:r>
            <w:r w:rsidR="00D22A91" w:rsidRPr="00D22A91">
              <w:rPr>
                <w:lang w:val="sr-Cyrl-RS"/>
              </w:rPr>
              <w:t xml:space="preserve"> </w:t>
            </w:r>
            <w:r w:rsidR="00D22A91" w:rsidRPr="00D22A91">
              <w:rPr>
                <w:lang w:val="en-US"/>
              </w:rPr>
              <w:t>al</w:t>
            </w:r>
            <w:r w:rsidR="00D22A91" w:rsidRPr="00D22A91">
              <w:rPr>
                <w:lang w:val="sr-Cyrl-RS"/>
              </w:rPr>
              <w:t>., 2012). Присталице аналошког приступа тврде да изворни и циљни домен представљају сложене пропозиционе структуре, а да се путем пресликавања налазе систематски развијене везе између те две структуре (</w:t>
            </w:r>
            <w:r w:rsidR="00D22A91" w:rsidRPr="00D22A91">
              <w:rPr>
                <w:lang w:val="en-US"/>
              </w:rPr>
              <w:t>Gentner</w:t>
            </w:r>
            <w:r w:rsidR="00D22A91" w:rsidRPr="00D22A91">
              <w:rPr>
                <w:lang w:val="sr-Cyrl-RS"/>
              </w:rPr>
              <w:t xml:space="preserve"> &amp; </w:t>
            </w:r>
            <w:r w:rsidR="00D22A91" w:rsidRPr="00D22A91">
              <w:rPr>
                <w:lang w:val="en-US"/>
              </w:rPr>
              <w:t>Bowdle</w:t>
            </w:r>
            <w:r w:rsidR="00D22A91" w:rsidRPr="00D22A91">
              <w:rPr>
                <w:lang w:val="sr-Cyrl-RS"/>
              </w:rPr>
              <w:t>, 2008). Гентнер и сарадници (Gentner et al., 2001) постављају питање да ли метафоре стварају значење или само одражавају структурне паралеле. Са друге стране, заступници категоризације сматрају да се метафора разуме као исказ категоризације (</w:t>
            </w:r>
            <w:r w:rsidR="00D22A91" w:rsidRPr="00D22A91">
              <w:rPr>
                <w:lang w:val="en-US"/>
              </w:rPr>
              <w:t>Glucksberg</w:t>
            </w:r>
            <w:r w:rsidR="00D22A91" w:rsidRPr="00D22A91">
              <w:rPr>
                <w:lang w:val="sr-Cyrl-RS"/>
              </w:rPr>
              <w:t xml:space="preserve"> &amp; </w:t>
            </w:r>
            <w:r w:rsidR="00D22A91" w:rsidRPr="00D22A91">
              <w:rPr>
                <w:lang w:val="en-US"/>
              </w:rPr>
              <w:t>Haught</w:t>
            </w:r>
            <w:r w:rsidR="00D22A91" w:rsidRPr="00D22A91">
              <w:rPr>
                <w:lang w:val="sr-Cyrl-RS"/>
              </w:rPr>
              <w:t xml:space="preserve">, 2006) заснован на механизму појмовне комбинације. Код трећег приступа, односне школе когнитивних лингвиста, метафора се сматра засебним појмовним механизмом (Lakoff &amp; Johnson, 1980; </w:t>
            </w:r>
            <w:r w:rsidR="00D22A91" w:rsidRPr="00D22A91">
              <w:rPr>
                <w:lang w:val="en-GB"/>
              </w:rPr>
              <w:t>Lakoff</w:t>
            </w:r>
            <w:r w:rsidR="00D22A91" w:rsidRPr="00D22A91">
              <w:rPr>
                <w:lang w:val="sr-Cyrl-RS"/>
              </w:rPr>
              <w:t xml:space="preserve"> &amp; </w:t>
            </w:r>
            <w:r w:rsidR="00D22A91" w:rsidRPr="00D22A91">
              <w:rPr>
                <w:lang w:val="en-GB"/>
              </w:rPr>
              <w:t>Turner</w:t>
            </w:r>
            <w:r w:rsidR="00D22A91" w:rsidRPr="00D22A91">
              <w:rPr>
                <w:lang w:val="sr-Cyrl-RS"/>
              </w:rPr>
              <w:t>, 1989; Lakoff, 1990). Лејкоф и сарадници појмовну метафору сматрају неизоставним делом људске перцепције и когниције, конкретно, језика и мисли.</w:t>
            </w:r>
            <w:r w:rsidR="00DB47CA">
              <w:rPr>
                <w:lang w:val="sr-Cyrl-RS"/>
              </w:rPr>
              <w:t xml:space="preserve"> </w:t>
            </w:r>
            <w:r w:rsidR="00D22A91" w:rsidRPr="00D22A91">
              <w:rPr>
                <w:lang w:val="sr-Cyrl-RS"/>
              </w:rPr>
              <w:t xml:space="preserve">Имајући у виду неслагања око овог проблема у савременој психолингвистици, </w:t>
            </w:r>
            <w:r w:rsidR="00D22A91">
              <w:rPr>
                <w:lang w:val="sr-Cyrl-RS"/>
              </w:rPr>
              <w:t>кандидат наводи да ће</w:t>
            </w:r>
            <w:r w:rsidR="00D22A91" w:rsidRPr="00D22A91">
              <w:rPr>
                <w:lang w:val="sr-Cyrl-RS"/>
              </w:rPr>
              <w:t xml:space="preserve"> </w:t>
            </w:r>
            <w:r w:rsidR="00D22A91" w:rsidRPr="00D22A91">
              <w:rPr>
                <w:lang w:val="sr-Cyrl-RS"/>
              </w:rPr>
              <w:lastRenderedPageBreak/>
              <w:t xml:space="preserve">истраживање посебну пажњу посветити испитивању улоге аналогије у разумевању метафора кроз везивање аналогије за тест флуидне интелигенције. Аналогија је механизам који функционише на основу поређења менталних представа, где се закључци доносе преко образаца који се уочавају код односа, као и у њиховим улогама </w:t>
            </w:r>
            <w:r w:rsidR="00D22A91" w:rsidRPr="00D22A91">
              <w:rPr>
                <w:bCs/>
                <w:lang w:val="sr-Cyrl-RS"/>
              </w:rPr>
              <w:t>(Holyoak, 2012)</w:t>
            </w:r>
            <w:r w:rsidR="00D22A91" w:rsidRPr="00D22A91">
              <w:rPr>
                <w:lang w:val="sr-Cyrl-RS"/>
              </w:rPr>
              <w:t>. Нека психолошка истраживања ослањају се у великој мери</w:t>
            </w:r>
            <w:r w:rsidR="00DB47CA">
              <w:rPr>
                <w:lang w:val="sr-Cyrl-RS"/>
              </w:rPr>
              <w:t xml:space="preserve"> </w:t>
            </w:r>
            <w:r w:rsidR="00D22A91" w:rsidRPr="00D22A91">
              <w:rPr>
                <w:lang w:val="sr-Cyrl-RS"/>
              </w:rPr>
              <w:t>и на интеракциону теорију метафоре (Black, 1962) која тврди да су метафоре одређене интеракцијом између два система заснована на аналогији њихових структура. Предложена је и хипотеза о развојном путу метафоре (енг</w:t>
            </w:r>
            <w:r w:rsidR="00FC20C9">
              <w:rPr>
                <w:lang w:val="sr-Cyrl-RS"/>
              </w:rPr>
              <w:t>л</w:t>
            </w:r>
            <w:r w:rsidR="00D22A91" w:rsidRPr="00D22A91">
              <w:rPr>
                <w:lang w:val="sr-Cyrl-RS"/>
              </w:rPr>
              <w:t xml:space="preserve">. </w:t>
            </w:r>
            <w:r w:rsidR="00D22A91" w:rsidRPr="00D22A91">
              <w:rPr>
                <w:i/>
                <w:lang w:val="en-GB"/>
              </w:rPr>
              <w:t>career</w:t>
            </w:r>
            <w:r w:rsidR="00D22A91" w:rsidRPr="00D22A91">
              <w:rPr>
                <w:i/>
                <w:lang w:val="sr-Cyrl-RS"/>
              </w:rPr>
              <w:t xml:space="preserve"> </w:t>
            </w:r>
            <w:r w:rsidR="00D22A91" w:rsidRPr="00D22A91">
              <w:rPr>
                <w:i/>
                <w:lang w:val="en-GB"/>
              </w:rPr>
              <w:t>of</w:t>
            </w:r>
            <w:r w:rsidR="00D22A91" w:rsidRPr="00D22A91">
              <w:rPr>
                <w:i/>
                <w:lang w:val="sr-Cyrl-RS"/>
              </w:rPr>
              <w:t xml:space="preserve"> </w:t>
            </w:r>
            <w:r w:rsidR="00D22A91" w:rsidRPr="00D22A91">
              <w:rPr>
                <w:i/>
                <w:lang w:val="en-GB"/>
              </w:rPr>
              <w:t>metaphor</w:t>
            </w:r>
            <w:r w:rsidR="00D22A91" w:rsidRPr="00D22A91">
              <w:rPr>
                <w:lang w:val="sr-Cyrl-RS"/>
              </w:rPr>
              <w:t>), као везе између метафоре и полисемије, према којој нова метафоричка пресликавања могу да произведу нова значења речи која функционишу као опште категорије (Bowdle &amp; Gentner, 2005). Такође, наводи се и да се разлика између аналогије и категоризације може разумети и као разлика између аналогије и концептуалне комбинације (</w:t>
            </w:r>
            <w:r w:rsidR="00D22A91" w:rsidRPr="00D22A91">
              <w:rPr>
                <w:lang w:val="en-US"/>
              </w:rPr>
              <w:t>Holyoak</w:t>
            </w:r>
            <w:r w:rsidR="00D22A91" w:rsidRPr="00D22A91">
              <w:rPr>
                <w:lang w:val="sr-Cyrl-RS"/>
              </w:rPr>
              <w:t xml:space="preserve"> &amp; </w:t>
            </w:r>
            <w:r w:rsidR="00D22A91" w:rsidRPr="00D22A91">
              <w:rPr>
                <w:lang w:val="en-US"/>
              </w:rPr>
              <w:t>Stamenkovi</w:t>
            </w:r>
            <w:r w:rsidR="00D22A91" w:rsidRPr="00D22A91">
              <w:rPr>
                <w:lang w:val="sr-Cyrl-RS"/>
              </w:rPr>
              <w:t>ć, 2018). Међутим, оно око чега се и заступници метафоре засноване на аналогији и категоризацији слажу јесте да разумевање метафоре подразумева поређење изворног и циљног домена.</w:t>
            </w:r>
            <w:r w:rsidR="00FC20C9">
              <w:rPr>
                <w:lang w:val="en-US"/>
              </w:rPr>
              <w:t xml:space="preserve"> </w:t>
            </w:r>
            <w:r w:rsidR="00FC20C9">
              <w:rPr>
                <w:lang w:val="sr-Cyrl-RS"/>
              </w:rPr>
              <w:t>Још један од важних појмова у поставци овог истраживања јесу особине метафоре, а оне су овде дефинисане на начин који су поставили</w:t>
            </w:r>
            <w:r w:rsidR="00D22A91" w:rsidRPr="00D22A91">
              <w:rPr>
                <w:lang w:val="sr-Cyrl-RS"/>
              </w:rPr>
              <w:t xml:space="preserve"> Кац и сарадници (</w:t>
            </w:r>
            <w:r w:rsidR="00D22A91" w:rsidRPr="00D22A91">
              <w:rPr>
                <w:lang w:val="en-GB"/>
              </w:rPr>
              <w:t>Katz</w:t>
            </w:r>
            <w:r w:rsidR="00D22A91" w:rsidRPr="00D22A91">
              <w:rPr>
                <w:lang w:val="sr-Cyrl-RS"/>
              </w:rPr>
              <w:t xml:space="preserve"> </w:t>
            </w:r>
            <w:r w:rsidR="00D22A91" w:rsidRPr="00D22A91">
              <w:rPr>
                <w:lang w:val="en-GB"/>
              </w:rPr>
              <w:t>et</w:t>
            </w:r>
            <w:r w:rsidR="00D22A91" w:rsidRPr="00D22A91">
              <w:rPr>
                <w:lang w:val="sr-Cyrl-RS"/>
              </w:rPr>
              <w:t xml:space="preserve"> </w:t>
            </w:r>
            <w:r w:rsidR="00D22A91" w:rsidRPr="00D22A91">
              <w:rPr>
                <w:lang w:val="en-GB"/>
              </w:rPr>
              <w:t>al</w:t>
            </w:r>
            <w:r w:rsidR="00D22A91" w:rsidRPr="00D22A91">
              <w:rPr>
                <w:lang w:val="sr-Cyrl-RS"/>
              </w:rPr>
              <w:t xml:space="preserve">., 1988) </w:t>
            </w:r>
            <w:r w:rsidR="00FC20C9">
              <w:rPr>
                <w:lang w:val="sr-Cyrl-RS"/>
              </w:rPr>
              <w:t xml:space="preserve">– они су </w:t>
            </w:r>
            <w:r w:rsidR="00D22A91" w:rsidRPr="00D22A91">
              <w:rPr>
                <w:lang w:val="sr-Cyrl-RS"/>
              </w:rPr>
              <w:t>предложили десет особина које су битне у разумевању метафоре</w:t>
            </w:r>
            <w:r w:rsidR="00FC20C9">
              <w:rPr>
                <w:lang w:val="sr-Cyrl-RS"/>
              </w:rPr>
              <w:t>, а</w:t>
            </w:r>
            <w:r w:rsidR="00D22A91" w:rsidRPr="00D22A91">
              <w:rPr>
                <w:lang w:val="sr-Cyrl-RS"/>
              </w:rPr>
              <w:t xml:space="preserve"> фокус ће</w:t>
            </w:r>
            <w:r w:rsidR="00FC20C9">
              <w:rPr>
                <w:lang w:val="sr-Cyrl-RS"/>
              </w:rPr>
              <w:t xml:space="preserve"> у овој дисертацији</w:t>
            </w:r>
            <w:r w:rsidR="00D22A91" w:rsidRPr="00D22A91">
              <w:rPr>
                <w:lang w:val="sr-Cyrl-RS"/>
              </w:rPr>
              <w:t xml:space="preserve"> бити на следећим: метафоричност, погодност извора да опише циљ, степен познатости, разумљивост и сличност извора циљу. </w:t>
            </w:r>
            <w:r w:rsidR="00FC20C9">
              <w:rPr>
                <w:lang w:val="sr-Cyrl-RS"/>
              </w:rPr>
              <w:t>Различита истраживања испитивала су утицај ових особина на разумевање метафоре, па су тако, н</w:t>
            </w:r>
            <w:r w:rsidR="00D22A91" w:rsidRPr="00D22A91">
              <w:rPr>
                <w:lang w:val="sr-Cyrl-RS"/>
              </w:rPr>
              <w:t xml:space="preserve">а пример, </w:t>
            </w:r>
            <w:r w:rsidR="00FC20C9">
              <w:rPr>
                <w:lang w:val="sr-Cyrl-RS"/>
              </w:rPr>
              <w:t>истраживачи долазили до закључака</w:t>
            </w:r>
            <w:r w:rsidR="00D22A91" w:rsidRPr="00D22A91">
              <w:rPr>
                <w:lang w:val="sr-Cyrl-RS"/>
              </w:rPr>
              <w:t xml:space="preserve"> да се разумевање одвија релативно брзо </w:t>
            </w:r>
            <w:r w:rsidR="00FC20C9">
              <w:rPr>
                <w:lang w:val="sr-Cyrl-RS"/>
              </w:rPr>
              <w:t>онда када је</w:t>
            </w:r>
            <w:r w:rsidR="00D22A91" w:rsidRPr="00D22A91">
              <w:rPr>
                <w:lang w:val="sr-Cyrl-RS"/>
              </w:rPr>
              <w:t xml:space="preserve"> метафор</w:t>
            </w:r>
            <w:r w:rsidR="00FC20C9">
              <w:rPr>
                <w:lang w:val="sr-Cyrl-RS"/>
              </w:rPr>
              <w:t>а</w:t>
            </w:r>
            <w:r w:rsidR="00D22A91" w:rsidRPr="00D22A91">
              <w:rPr>
                <w:lang w:val="sr-Cyrl-RS"/>
              </w:rPr>
              <w:t xml:space="preserve"> прикладна и позната (Blasko &amp; Connine, 1993; Jones &amp; Estes, 2005, 2006). Већина ових</w:t>
            </w:r>
            <w:r w:rsidR="00FC20C9">
              <w:rPr>
                <w:lang w:val="sr-Cyrl-RS"/>
              </w:rPr>
              <w:t xml:space="preserve"> особина коришћена је </w:t>
            </w:r>
            <w:r w:rsidR="00D22A91" w:rsidRPr="00D22A91">
              <w:rPr>
                <w:lang w:val="sr-Cyrl-RS"/>
              </w:rPr>
              <w:t>у новијим студијама нормирања релевантним за разумевање метафоре (</w:t>
            </w:r>
            <w:r w:rsidR="00FC20C9">
              <w:rPr>
                <w:lang w:val="sr-Cyrl-RS"/>
              </w:rPr>
              <w:t xml:space="preserve">нпр. </w:t>
            </w:r>
            <w:r w:rsidR="00D22A91" w:rsidRPr="00D22A91">
              <w:rPr>
                <w:lang w:val="en-GB"/>
              </w:rPr>
              <w:t>Roncero</w:t>
            </w:r>
            <w:r w:rsidR="00D22A91" w:rsidRPr="00D22A91">
              <w:rPr>
                <w:lang w:val="sr-Cyrl-RS"/>
              </w:rPr>
              <w:t xml:space="preserve"> &amp; </w:t>
            </w:r>
            <w:r w:rsidR="00D22A91" w:rsidRPr="00D22A91">
              <w:rPr>
                <w:lang w:val="en-GB"/>
              </w:rPr>
              <w:t>De</w:t>
            </w:r>
            <w:r w:rsidR="00D22A91" w:rsidRPr="00D22A91">
              <w:rPr>
                <w:lang w:val="sr-Cyrl-RS"/>
              </w:rPr>
              <w:t xml:space="preserve"> </w:t>
            </w:r>
            <w:r w:rsidR="00D22A91" w:rsidRPr="00D22A91">
              <w:rPr>
                <w:lang w:val="en-GB"/>
              </w:rPr>
              <w:t>Almeida</w:t>
            </w:r>
            <w:r w:rsidR="00D22A91" w:rsidRPr="00D22A91">
              <w:rPr>
                <w:lang w:val="sr-Cyrl-RS"/>
              </w:rPr>
              <w:t xml:space="preserve">, 2014; </w:t>
            </w:r>
            <w:r w:rsidR="00D22A91" w:rsidRPr="00D22A91">
              <w:rPr>
                <w:lang w:val="en-GB"/>
              </w:rPr>
              <w:t>Cardillo</w:t>
            </w:r>
            <w:r w:rsidR="00D22A91" w:rsidRPr="00D22A91">
              <w:rPr>
                <w:lang w:val="sr-Cyrl-RS"/>
              </w:rPr>
              <w:t xml:space="preserve"> </w:t>
            </w:r>
            <w:r w:rsidR="00D22A91" w:rsidRPr="00D22A91">
              <w:rPr>
                <w:lang w:val="en-GB"/>
              </w:rPr>
              <w:t>et</w:t>
            </w:r>
            <w:r w:rsidR="00D22A91" w:rsidRPr="00D22A91">
              <w:rPr>
                <w:lang w:val="sr-Cyrl-RS"/>
              </w:rPr>
              <w:t xml:space="preserve"> </w:t>
            </w:r>
            <w:r w:rsidR="00D22A91" w:rsidRPr="00D22A91">
              <w:rPr>
                <w:lang w:val="en-GB"/>
              </w:rPr>
              <w:t>al</w:t>
            </w:r>
            <w:r w:rsidR="00D22A91" w:rsidRPr="00D22A91">
              <w:rPr>
                <w:lang w:val="sr-Cyrl-RS"/>
              </w:rPr>
              <w:t xml:space="preserve">., 2017). </w:t>
            </w:r>
            <w:r w:rsidR="00FC20C9" w:rsidRPr="00D22A91">
              <w:rPr>
                <w:lang w:val="sr-Cyrl-RS"/>
              </w:rPr>
              <w:t xml:space="preserve">У </w:t>
            </w:r>
            <w:r w:rsidR="00FC20C9">
              <w:rPr>
                <w:lang w:val="sr-Cyrl-RS"/>
              </w:rPr>
              <w:t xml:space="preserve">припремном </w:t>
            </w:r>
            <w:r w:rsidR="00FC20C9" w:rsidRPr="00D22A91">
              <w:rPr>
                <w:lang w:val="sr-Cyrl-RS"/>
              </w:rPr>
              <w:t>истраживању спроведеном од стране Стаменковића и сарадника (</w:t>
            </w:r>
            <w:r w:rsidR="00FC20C9">
              <w:rPr>
                <w:lang w:val="sr-Cyrl-RS"/>
              </w:rPr>
              <w:t>Стаменковић, Миленковић и Динчић 2019</w:t>
            </w:r>
            <w:r w:rsidR="00FC20C9" w:rsidRPr="00D22A91">
              <w:rPr>
                <w:lang w:val="sr-Cyrl-RS"/>
              </w:rPr>
              <w:t>), урађено је нормирање датих особина које су одабране због њихове емпиријске важности, као и значаја за психолошке моделе који су предложени у разумевању метафоре.</w:t>
            </w:r>
            <w:r w:rsidR="00DB47CA">
              <w:rPr>
                <w:lang w:val="sr-Cyrl-RS"/>
              </w:rPr>
              <w:t xml:space="preserve"> </w:t>
            </w:r>
            <w:r w:rsidR="00FC20C9">
              <w:rPr>
                <w:lang w:val="sr-Cyrl-RS"/>
              </w:rPr>
              <w:t>Када је у питању психолингвистичка страна</w:t>
            </w:r>
            <w:r w:rsidR="00D22A91" w:rsidRPr="00D22A91">
              <w:rPr>
                <w:lang w:val="sr-Cyrl-RS"/>
              </w:rPr>
              <w:t xml:space="preserve">, класичне теорије интелигенције (Cattell, 1971) праве разлику између </w:t>
            </w:r>
            <w:r w:rsidR="00D22A91" w:rsidRPr="00D22A91">
              <w:rPr>
                <w:i/>
                <w:lang w:val="sr-Cyrl-RS"/>
              </w:rPr>
              <w:t>флуидне</w:t>
            </w:r>
            <w:r w:rsidR="00D22A91" w:rsidRPr="00D22A91">
              <w:rPr>
                <w:lang w:val="sr-Cyrl-RS"/>
              </w:rPr>
              <w:t xml:space="preserve"> и </w:t>
            </w:r>
            <w:r w:rsidR="00D22A91" w:rsidRPr="00D22A91">
              <w:rPr>
                <w:i/>
                <w:lang w:val="sr-Cyrl-RS"/>
              </w:rPr>
              <w:t>кристализоване</w:t>
            </w:r>
            <w:r w:rsidR="00D22A91" w:rsidRPr="00D22A91">
              <w:rPr>
                <w:lang w:val="sr-Cyrl-RS"/>
              </w:rPr>
              <w:t xml:space="preserve"> интелигенције (енгл. </w:t>
            </w:r>
            <w:r w:rsidR="00D22A91" w:rsidRPr="00D22A91">
              <w:rPr>
                <w:i/>
                <w:lang w:val="sr-Cyrl-RS"/>
              </w:rPr>
              <w:t>fluid</w:t>
            </w:r>
            <w:r w:rsidR="00D22A91" w:rsidRPr="00D22A91">
              <w:rPr>
                <w:lang w:val="sr-Cyrl-RS"/>
              </w:rPr>
              <w:t xml:space="preserve"> и </w:t>
            </w:r>
            <w:r w:rsidR="00D22A91" w:rsidRPr="00D22A91">
              <w:rPr>
                <w:i/>
                <w:lang w:val="sr-Cyrl-RS"/>
              </w:rPr>
              <w:t>crystalized</w:t>
            </w:r>
            <w:r w:rsidR="00D22A91" w:rsidRPr="00D22A91">
              <w:rPr>
                <w:lang w:val="sr-Cyrl-RS"/>
              </w:rPr>
              <w:t>), при чему флуидна интелигенција укључује логично размишљање (често невербално) о новим проблемима који се не заснивају на претходном знању, док кристализована интелигенција подразумева углавном вербално размишљање које се ослања на претходно знање. Тако су у једном истраживању (Kazmerski, Blasko, &amp; Dessalegn, 2003) испитаници радили тестове интелигенције и тестове радне меморије, а затим оцењивали и тумачили метафоре. Резултати су показали да су испитаници нижег коефицијента интелигенције били мање успешни у тумачењу метафора у односу на испитанике са вишим коефицијентом. У другом истраживању (Chiappe &amp; Chiappe, 2007), испитаницима је требало мање времена да протумаче метафоре, и то на бољи начин. Претходна истраживања су показала да је флуидна интелигенција уско повезана са индивидуалним разликама у аналошком расуђивању, док је кристализована одговорна за језичке способности. Најновија истраживања (Stamenković</w:t>
            </w:r>
            <w:r w:rsidR="00FC20C9">
              <w:rPr>
                <w:lang w:val="sr-Cyrl-RS"/>
              </w:rPr>
              <w:t>,</w:t>
            </w:r>
            <w:r w:rsidR="00FC20C9">
              <w:rPr>
                <w:lang w:val="sr-Latn-RS"/>
              </w:rPr>
              <w:t xml:space="preserve"> Ichien, &amp; Holyoak,</w:t>
            </w:r>
            <w:r w:rsidR="00D22A91" w:rsidRPr="00D22A91">
              <w:rPr>
                <w:lang w:val="sr-Cyrl-RS"/>
              </w:rPr>
              <w:t xml:space="preserve"> 2019) налазе да обе врсте интелигенције имају улогу у разумевању метафоре, тј. индивидуалне разлике указују на то да кристализована интелигенција утиче на разумевање различитих врста метафоре, док се разлике у флуидној интелигенцији углавном односе на когнитивно сложеније метафоре, ка</w:t>
            </w:r>
            <w:r w:rsidR="00FC20C9">
              <w:rPr>
                <w:lang w:val="sr-Cyrl-RS"/>
              </w:rPr>
              <w:t>кве</w:t>
            </w:r>
            <w:r w:rsidR="00D22A91" w:rsidRPr="00D22A91">
              <w:rPr>
                <w:lang w:val="sr-Cyrl-RS"/>
              </w:rPr>
              <w:t xml:space="preserve"> су књижевне.</w:t>
            </w:r>
            <w:r w:rsidR="00FC20C9">
              <w:rPr>
                <w:lang w:val="sr-Cyrl-RS"/>
              </w:rPr>
              <w:t xml:space="preserve"> Кроз приступ базиран на особинама, ова ће дисертација бити јасније усмерена ка откривању разлога зашто је једна група метафора разумљивија од друге.</w:t>
            </w:r>
          </w:p>
        </w:tc>
      </w:tr>
      <w:tr w:rsidR="00EA0590" w:rsidRPr="006B77E8" w14:paraId="7798F7BC" w14:textId="77777777" w:rsidTr="00D22A91">
        <w:trPr>
          <w:trHeight w:val="227"/>
          <w:jc w:val="center"/>
        </w:trPr>
        <w:tc>
          <w:tcPr>
            <w:tcW w:w="366" w:type="dxa"/>
            <w:shd w:val="clear" w:color="auto" w:fill="F3F3F3"/>
            <w:vAlign w:val="center"/>
          </w:tcPr>
          <w:p w14:paraId="3A3DED3D" w14:textId="77777777" w:rsidR="00EA0590" w:rsidRPr="006B77E8" w:rsidRDefault="00EA0590" w:rsidP="00D22A91">
            <w:pPr>
              <w:jc w:val="center"/>
              <w:rPr>
                <w:rFonts w:eastAsia="TimesNewRomanPS-BoldMT"/>
                <w:lang w:val="sr-Cyrl-RS"/>
              </w:rPr>
            </w:pPr>
            <w:r w:rsidRPr="006B77E8">
              <w:rPr>
                <w:rFonts w:eastAsia="TimesNewRomanPS-BoldMT"/>
                <w:lang w:val="sr-Cyrl-RS"/>
              </w:rPr>
              <w:lastRenderedPageBreak/>
              <w:t>2.</w:t>
            </w:r>
          </w:p>
        </w:tc>
        <w:tc>
          <w:tcPr>
            <w:tcW w:w="10420" w:type="dxa"/>
            <w:gridSpan w:val="10"/>
            <w:shd w:val="clear" w:color="auto" w:fill="F3F3F3"/>
            <w:vAlign w:val="center"/>
          </w:tcPr>
          <w:p w14:paraId="74C2FE0C" w14:textId="77777777" w:rsidR="00EA0590" w:rsidRPr="006B77E8" w:rsidRDefault="00EA0590" w:rsidP="00D22A91">
            <w:pPr>
              <w:rPr>
                <w:lang w:val="sr-Cyrl-RS"/>
              </w:rPr>
            </w:pPr>
            <w:r w:rsidRPr="006B77E8">
              <w:rPr>
                <w:lang w:val="sr-Cyrl-RS"/>
              </w:rPr>
              <w:t xml:space="preserve">Усклађеност проблематике са коришћеном литературом </w:t>
            </w:r>
            <w:r w:rsidRPr="006B77E8">
              <w:rPr>
                <w:i/>
                <w:color w:val="808080"/>
                <w:sz w:val="18"/>
                <w:szCs w:val="18"/>
                <w:lang w:val="sr-Cyrl-RS"/>
              </w:rPr>
              <w:t>(до 200 речи)</w:t>
            </w:r>
          </w:p>
        </w:tc>
      </w:tr>
      <w:tr w:rsidR="00EA0590" w:rsidRPr="006B77E8" w14:paraId="32B33B07" w14:textId="77777777" w:rsidTr="00D22A91">
        <w:trPr>
          <w:trHeight w:val="567"/>
          <w:jc w:val="center"/>
        </w:trPr>
        <w:tc>
          <w:tcPr>
            <w:tcW w:w="10786" w:type="dxa"/>
            <w:gridSpan w:val="11"/>
          </w:tcPr>
          <w:p w14:paraId="4264DE5C" w14:textId="6FA8D5DC" w:rsidR="001471F7" w:rsidRPr="0067568B" w:rsidRDefault="001471F7" w:rsidP="00D22A91">
            <w:pPr>
              <w:rPr>
                <w:lang w:val="sr-Cyrl-RS"/>
              </w:rPr>
            </w:pPr>
            <w:r>
              <w:rPr>
                <w:lang w:val="sr-Cyrl-RS"/>
              </w:rPr>
              <w:tab/>
            </w:r>
            <w:r w:rsidR="00571715">
              <w:rPr>
                <w:lang w:val="sr-Cyrl-RS"/>
              </w:rPr>
              <w:t xml:space="preserve">Наведена коришћена литература у потпуности је усклађена са проблематиком и показује да кандидат познаје најновије правце у психолингвисичким приступима метафори. </w:t>
            </w:r>
            <w:r w:rsidR="009F2ABE">
              <w:rPr>
                <w:lang w:val="sr-Cyrl-RS"/>
              </w:rPr>
              <w:t>Најпре, литература је усмерена ка приказивању доминантних праваца у проучавању метафоре и тиме проблематику поставља у положај који омогућава увид у могуће правце кретања, а поред тога приказује и студије које су већ кренуле у смеру појашњавања неких од постојећих отворених питања.</w:t>
            </w:r>
            <w:r w:rsidR="0067568B">
              <w:rPr>
                <w:lang w:val="sr-Latn-RS"/>
              </w:rPr>
              <w:t xml:space="preserve"> </w:t>
            </w:r>
            <w:r w:rsidR="0067568B">
              <w:rPr>
                <w:lang w:val="sr-Cyrl-RS"/>
              </w:rPr>
              <w:t>Литература се осврће на доминантне дебате у психолингвистичим правцима проучавања разумевања метафоре и на основу т</w:t>
            </w:r>
            <w:r w:rsidR="00E76FE8">
              <w:rPr>
                <w:lang w:val="sr-Cyrl-RS"/>
              </w:rPr>
              <w:t>их дебата</w:t>
            </w:r>
            <w:r w:rsidR="0067568B">
              <w:rPr>
                <w:lang w:val="sr-Cyrl-RS"/>
              </w:rPr>
              <w:t xml:space="preserve"> јасно приказује питања која још увек трагају</w:t>
            </w:r>
            <w:r w:rsidR="00E76FE8">
              <w:rPr>
                <w:lang w:val="sr-Cyrl-RS"/>
              </w:rPr>
              <w:t xml:space="preserve"> за одговорима и налази простор за смештање циљева ове дисертације. </w:t>
            </w:r>
            <w:r>
              <w:rPr>
                <w:lang w:val="sr-Cyrl-RS"/>
              </w:rPr>
              <w:t xml:space="preserve">Основна дебата јесте она која се тиуче основног механизма разумевања метафоре и огледа се у некој врсти сукоба која постоји између оних који тврде да се разумевање метафоре заснива на процесима категоризације (струја предвођена Глаксбергом) и оних који дају предност аналогији и </w:t>
            </w:r>
            <w:r w:rsidR="00347642">
              <w:rPr>
                <w:lang w:val="sr-Cyrl-RS"/>
              </w:rPr>
              <w:t xml:space="preserve">концептуалној метафори (Гентнер, Гибс, Лејкоф и остали). </w:t>
            </w:r>
            <w:r w:rsidR="00E76FE8">
              <w:rPr>
                <w:lang w:val="sr-Cyrl-RS"/>
              </w:rPr>
              <w:t xml:space="preserve">Приказана проблематика не показује само добро владање литературом већ и способност кандидата да препозна </w:t>
            </w:r>
            <w:r>
              <w:rPr>
                <w:lang w:val="sr-Cyrl-RS"/>
              </w:rPr>
              <w:t>научне токове у савременој филологији који из предложених библиографских јединица проистичу.</w:t>
            </w:r>
            <w:r w:rsidR="00E76FE8">
              <w:rPr>
                <w:lang w:val="sr-Cyrl-RS"/>
              </w:rPr>
              <w:t xml:space="preserve"> </w:t>
            </w:r>
          </w:p>
        </w:tc>
      </w:tr>
      <w:tr w:rsidR="00EA0590" w:rsidRPr="006B77E8" w14:paraId="787F7B61" w14:textId="77777777" w:rsidTr="00D22A91">
        <w:trPr>
          <w:trHeight w:val="227"/>
          <w:jc w:val="center"/>
        </w:trPr>
        <w:tc>
          <w:tcPr>
            <w:tcW w:w="366" w:type="dxa"/>
            <w:shd w:val="clear" w:color="auto" w:fill="F3F3F3"/>
            <w:vAlign w:val="center"/>
          </w:tcPr>
          <w:p w14:paraId="20EC3996" w14:textId="77777777" w:rsidR="00EA0590" w:rsidRPr="006B77E8" w:rsidRDefault="00EA0590" w:rsidP="00D22A91">
            <w:pPr>
              <w:jc w:val="center"/>
              <w:rPr>
                <w:rFonts w:eastAsia="TimesNewRomanPS-BoldMT"/>
                <w:lang w:val="sr-Cyrl-RS"/>
              </w:rPr>
            </w:pPr>
            <w:r w:rsidRPr="006B77E8">
              <w:rPr>
                <w:rFonts w:eastAsia="TimesNewRomanPS-BoldMT"/>
                <w:lang w:val="sr-Cyrl-RS"/>
              </w:rPr>
              <w:t>3.</w:t>
            </w:r>
          </w:p>
        </w:tc>
        <w:tc>
          <w:tcPr>
            <w:tcW w:w="10420" w:type="dxa"/>
            <w:gridSpan w:val="10"/>
            <w:shd w:val="clear" w:color="auto" w:fill="F3F3F3"/>
            <w:vAlign w:val="center"/>
          </w:tcPr>
          <w:p w14:paraId="2169F241" w14:textId="77777777" w:rsidR="00EA0590" w:rsidRPr="006B77E8" w:rsidRDefault="00EA0590" w:rsidP="00D22A91">
            <w:pPr>
              <w:rPr>
                <w:lang w:val="sr-Cyrl-RS"/>
              </w:rPr>
            </w:pPr>
            <w:r w:rsidRPr="006B77E8">
              <w:rPr>
                <w:lang w:val="sr-Cyrl-RS"/>
              </w:rPr>
              <w:t xml:space="preserve">Циљеви научног истраживања </w:t>
            </w:r>
            <w:r w:rsidRPr="006B77E8">
              <w:rPr>
                <w:i/>
                <w:color w:val="808080"/>
                <w:sz w:val="18"/>
                <w:szCs w:val="18"/>
                <w:lang w:val="sr-Cyrl-RS"/>
              </w:rPr>
              <w:t>(до 500 речи)</w:t>
            </w:r>
          </w:p>
        </w:tc>
      </w:tr>
      <w:tr w:rsidR="00EA0590" w:rsidRPr="006B77E8" w14:paraId="09C853E3" w14:textId="77777777" w:rsidTr="00D22A91">
        <w:trPr>
          <w:trHeight w:val="567"/>
          <w:jc w:val="center"/>
        </w:trPr>
        <w:tc>
          <w:tcPr>
            <w:tcW w:w="10786" w:type="dxa"/>
            <w:gridSpan w:val="11"/>
          </w:tcPr>
          <w:p w14:paraId="42A11D58" w14:textId="51196D0E" w:rsidR="00EA0590" w:rsidRDefault="001471F7" w:rsidP="00D22A91">
            <w:pPr>
              <w:rPr>
                <w:lang w:val="sr-Cyrl-RS"/>
              </w:rPr>
            </w:pPr>
            <w:r>
              <w:rPr>
                <w:lang w:val="sr-Cyrl-RS"/>
              </w:rPr>
              <w:tab/>
            </w:r>
            <w:r w:rsidR="00FC20C9">
              <w:rPr>
                <w:lang w:val="sr-Cyrl-RS"/>
              </w:rPr>
              <w:t>Кандидат</w:t>
            </w:r>
            <w:r w:rsidR="00C5301B">
              <w:rPr>
                <w:lang w:val="sr-Cyrl-RS"/>
              </w:rPr>
              <w:t>киња</w:t>
            </w:r>
            <w:r w:rsidR="00FC20C9">
              <w:rPr>
                <w:lang w:val="sr-Cyrl-RS"/>
              </w:rPr>
              <w:t xml:space="preserve"> поставља следеће као циљеве ове докторске дисертације:</w:t>
            </w:r>
          </w:p>
          <w:p w14:paraId="52766963" w14:textId="1C78BD3C" w:rsidR="00FC20C9" w:rsidRPr="0010110B" w:rsidRDefault="00FC20C9" w:rsidP="00FC20C9">
            <w:pPr>
              <w:numPr>
                <w:ilvl w:val="0"/>
                <w:numId w:val="1"/>
              </w:numPr>
              <w:rPr>
                <w:lang w:val="sr-Cyrl-RS"/>
              </w:rPr>
            </w:pPr>
            <w:r>
              <w:rPr>
                <w:lang w:val="sr-Cyrl-RS"/>
              </w:rPr>
              <w:t xml:space="preserve">Први циљ је испитивање корелација између </w:t>
            </w:r>
            <w:r w:rsidRPr="0010110B">
              <w:rPr>
                <w:lang w:val="sr-Cyrl-RS"/>
              </w:rPr>
              <w:t>две врсте интелигенције, које везујемо за два</w:t>
            </w:r>
            <w:r w:rsidRPr="009D16CD">
              <w:rPr>
                <w:lang w:val="sr-Latn-RS"/>
              </w:rPr>
              <w:t xml:space="preserve"> </w:t>
            </w:r>
            <w:r>
              <w:rPr>
                <w:lang w:val="sr-Cyrl-RS"/>
              </w:rPr>
              <w:t>доминантна психолингвистичка</w:t>
            </w:r>
            <w:r w:rsidRPr="0010110B">
              <w:rPr>
                <w:lang w:val="sr-Cyrl-RS"/>
              </w:rPr>
              <w:t xml:space="preserve"> приступа разумевању метафоре, </w:t>
            </w:r>
            <w:r>
              <w:rPr>
                <w:lang w:val="sr-Cyrl-RS"/>
              </w:rPr>
              <w:t>и разумевања</w:t>
            </w:r>
            <w:r w:rsidRPr="0010110B">
              <w:rPr>
                <w:lang w:val="sr-Cyrl-RS"/>
              </w:rPr>
              <w:t xml:space="preserve"> књижевни</w:t>
            </w:r>
            <w:r>
              <w:rPr>
                <w:lang w:val="sr-Cyrl-RS"/>
              </w:rPr>
              <w:t>х</w:t>
            </w:r>
            <w:r w:rsidRPr="0010110B">
              <w:rPr>
                <w:lang w:val="sr-Cyrl-RS"/>
              </w:rPr>
              <w:t xml:space="preserve"> и некњижевни</w:t>
            </w:r>
            <w:r>
              <w:rPr>
                <w:lang w:val="sr-Cyrl-RS"/>
              </w:rPr>
              <w:t>х</w:t>
            </w:r>
            <w:r w:rsidRPr="0010110B">
              <w:rPr>
                <w:lang w:val="sr-Cyrl-RS"/>
              </w:rPr>
              <w:t xml:space="preserve"> метафора </w:t>
            </w:r>
            <w:r w:rsidRPr="0010110B">
              <w:rPr>
                <w:lang w:val="sr-Cyrl-RS"/>
              </w:rPr>
              <w:lastRenderedPageBreak/>
              <w:t xml:space="preserve">из српског језика. </w:t>
            </w:r>
            <w:r>
              <w:rPr>
                <w:lang w:val="sr-Cyrl-RS"/>
              </w:rPr>
              <w:t>У склопу овога, кандидат настоји</w:t>
            </w:r>
            <w:r w:rsidRPr="0010110B">
              <w:rPr>
                <w:lang w:val="sr-Cyrl-RS"/>
              </w:rPr>
              <w:t xml:space="preserve"> </w:t>
            </w:r>
            <w:r>
              <w:rPr>
                <w:lang w:val="sr-Cyrl-RS"/>
              </w:rPr>
              <w:t xml:space="preserve">да </w:t>
            </w:r>
            <w:r w:rsidRPr="0010110B">
              <w:rPr>
                <w:lang w:val="sr-Cyrl-RS"/>
              </w:rPr>
              <w:t xml:space="preserve">провери да ли, и у коликој мери, </w:t>
            </w:r>
            <w:r>
              <w:rPr>
                <w:lang w:val="sr-Cyrl-RS"/>
              </w:rPr>
              <w:t>тест</w:t>
            </w:r>
            <w:r w:rsidRPr="0010110B">
              <w:rPr>
                <w:lang w:val="sr-Cyrl-RS"/>
              </w:rPr>
              <w:t xml:space="preserve"> флуидне интелигенције им</w:t>
            </w:r>
            <w:r>
              <w:rPr>
                <w:lang w:val="en-GB"/>
              </w:rPr>
              <w:t>a</w:t>
            </w:r>
            <w:r w:rsidRPr="0010110B">
              <w:rPr>
                <w:lang w:val="sr-Cyrl-RS"/>
              </w:rPr>
              <w:t xml:space="preserve"> утицај на разумевање метафоре</w:t>
            </w:r>
            <w:r>
              <w:rPr>
                <w:lang w:val="sr-Cyrl-RS"/>
              </w:rPr>
              <w:t>.</w:t>
            </w:r>
            <w:r w:rsidRPr="0010110B">
              <w:rPr>
                <w:lang w:val="sr-Cyrl-RS"/>
              </w:rPr>
              <w:t xml:space="preserve"> Такође, с обзиром на то да су Рејвенове матрице, као формалан и невербалан тест где семантичко знање нема готово никакву</w:t>
            </w:r>
            <w:r>
              <w:rPr>
                <w:lang w:val="sr-Cyrl-RS"/>
              </w:rPr>
              <w:t xml:space="preserve"> или веома малу</w:t>
            </w:r>
            <w:r w:rsidRPr="0010110B">
              <w:rPr>
                <w:lang w:val="sr-Cyrl-RS"/>
              </w:rPr>
              <w:t xml:space="preserve"> улогу, врло уско повезане са аналошким расуђивањем, </w:t>
            </w:r>
            <w:r>
              <w:rPr>
                <w:lang w:val="sr-Cyrl-RS"/>
              </w:rPr>
              <w:t>посредно ће се испитати и колика је</w:t>
            </w:r>
            <w:r w:rsidRPr="0010110B">
              <w:rPr>
                <w:lang w:val="sr-Cyrl-RS"/>
              </w:rPr>
              <w:t xml:space="preserve"> важност аналогије </w:t>
            </w:r>
            <w:r>
              <w:rPr>
                <w:lang w:val="sr-Cyrl-RS"/>
              </w:rPr>
              <w:t xml:space="preserve">у процесу </w:t>
            </w:r>
            <w:r w:rsidRPr="0010110B">
              <w:rPr>
                <w:lang w:val="sr-Cyrl-RS"/>
              </w:rPr>
              <w:t>разумевањ</w:t>
            </w:r>
            <w:r>
              <w:rPr>
                <w:lang w:val="sr-Cyrl-RS"/>
              </w:rPr>
              <w:t>а</w:t>
            </w:r>
            <w:r w:rsidRPr="0010110B">
              <w:rPr>
                <w:lang w:val="sr-Cyrl-RS"/>
              </w:rPr>
              <w:t xml:space="preserve"> метафоре.</w:t>
            </w:r>
            <w:r w:rsidR="00D704B5">
              <w:rPr>
                <w:lang w:val="sr-Latn-RS"/>
              </w:rPr>
              <w:t xml:space="preserve"> </w:t>
            </w:r>
            <w:r w:rsidR="00D704B5">
              <w:rPr>
                <w:lang w:val="sr-Cyrl-RS"/>
              </w:rPr>
              <w:t>Овај циљ представља својеврсну репликацију студија које су рађене на енглеском говорном подручју.</w:t>
            </w:r>
          </w:p>
          <w:p w14:paraId="59A610B4" w14:textId="22E2D704" w:rsidR="00FC20C9" w:rsidRDefault="00FC20C9" w:rsidP="00FC20C9">
            <w:pPr>
              <w:numPr>
                <w:ilvl w:val="0"/>
                <w:numId w:val="1"/>
              </w:numPr>
              <w:rPr>
                <w:lang w:val="sr-Cyrl-RS"/>
              </w:rPr>
            </w:pPr>
            <w:r>
              <w:rPr>
                <w:lang w:val="sr-Cyrl-RS"/>
              </w:rPr>
              <w:t>Други циљ ове дисертације јесте д</w:t>
            </w:r>
            <w:r w:rsidRPr="0010110B">
              <w:rPr>
                <w:lang w:val="sr-Cyrl-RS"/>
              </w:rPr>
              <w:t>а се утврди</w:t>
            </w:r>
            <w:r>
              <w:rPr>
                <w:lang w:val="sr-Cyrl-RS"/>
              </w:rPr>
              <w:t xml:space="preserve"> како</w:t>
            </w:r>
            <w:r w:rsidRPr="0010110B">
              <w:rPr>
                <w:lang w:val="sr-Cyrl-RS"/>
              </w:rPr>
              <w:t xml:space="preserve"> </w:t>
            </w:r>
            <w:r>
              <w:rPr>
                <w:lang w:val="sr-Cyrl-RS"/>
              </w:rPr>
              <w:t>разумевање</w:t>
            </w:r>
            <w:r w:rsidRPr="0010110B">
              <w:rPr>
                <w:lang w:val="sr-Cyrl-RS"/>
              </w:rPr>
              <w:t xml:space="preserve"> књижевне метафоре</w:t>
            </w:r>
            <w:r>
              <w:rPr>
                <w:lang w:val="sr-Cyrl-RS"/>
              </w:rPr>
              <w:t xml:space="preserve">, која се према претходним резултатима у одређеним случајевима ослања на аналошко расуђивање, </w:t>
            </w:r>
            <w:r w:rsidRPr="0010110B">
              <w:rPr>
                <w:lang w:val="sr-Cyrl-RS"/>
              </w:rPr>
              <w:t xml:space="preserve">зависи од пет </w:t>
            </w:r>
            <w:r>
              <w:rPr>
                <w:lang w:val="sr-Cyrl-RS"/>
              </w:rPr>
              <w:t>особина</w:t>
            </w:r>
            <w:r w:rsidRPr="0010110B">
              <w:rPr>
                <w:lang w:val="sr-Cyrl-RS"/>
              </w:rPr>
              <w:t xml:space="preserve"> из </w:t>
            </w:r>
            <w:r>
              <w:rPr>
                <w:lang w:val="sr-Cyrl-RS"/>
              </w:rPr>
              <w:t xml:space="preserve">студија </w:t>
            </w:r>
            <w:r w:rsidRPr="0010110B">
              <w:rPr>
                <w:lang w:val="sr-Cyrl-RS"/>
              </w:rPr>
              <w:t>нормирања метафоре (метафоричност, погодност извора да опише циљ, степен познатости, разумљивост и сличност извора циљу). Испитаће се и како</w:t>
            </w:r>
            <w:r w:rsidRPr="009D16CD">
              <w:rPr>
                <w:lang w:val="sr-Cyrl-RS"/>
              </w:rPr>
              <w:t xml:space="preserve"> </w:t>
            </w:r>
            <w:r w:rsidRPr="0010110B">
              <w:rPr>
                <w:lang w:val="sr-Cyrl-RS"/>
              </w:rPr>
              <w:t>разлике по датим димензијама међу испитаницима утичу на њихово разумевање</w:t>
            </w:r>
            <w:r>
              <w:rPr>
                <w:lang w:val="sr-Cyrl-RS"/>
              </w:rPr>
              <w:t xml:space="preserve"> књижевних</w:t>
            </w:r>
            <w:r w:rsidRPr="0010110B">
              <w:rPr>
                <w:lang w:val="sr-Cyrl-RS"/>
              </w:rPr>
              <w:t xml:space="preserve"> метафора, као и </w:t>
            </w:r>
            <w:r>
              <w:rPr>
                <w:lang w:val="sr-Cyrl-RS"/>
              </w:rPr>
              <w:t>на који начин се</w:t>
            </w:r>
            <w:r w:rsidRPr="0010110B">
              <w:rPr>
                <w:lang w:val="sr-Cyrl-RS"/>
              </w:rPr>
              <w:t xml:space="preserve"> две врсте метафора </w:t>
            </w:r>
            <w:r w:rsidR="00205631">
              <w:rPr>
                <w:lang w:val="sr-Cyrl-RS"/>
              </w:rPr>
              <w:t xml:space="preserve">(књижевне и некњижевне) </w:t>
            </w:r>
            <w:r w:rsidRPr="0010110B">
              <w:rPr>
                <w:lang w:val="sr-Cyrl-RS"/>
              </w:rPr>
              <w:t xml:space="preserve">разликују. Разлог зашто се обрађују и књижевне и некњижевне метафоре јесте тежња да се сачини контролисан и </w:t>
            </w:r>
            <w:r>
              <w:rPr>
                <w:lang w:val="sr-Cyrl-RS"/>
              </w:rPr>
              <w:t>доследан</w:t>
            </w:r>
            <w:r w:rsidRPr="0010110B">
              <w:rPr>
                <w:lang w:val="sr-Cyrl-RS"/>
              </w:rPr>
              <w:t xml:space="preserve"> корпус који се састоји из више од једног типа метафоре, као и више варијабли. Другим речима, корпус који је сачињен и од књижевних и од некњижевних метафора релевантан је за извођење закључака о обе врсте метафоре.</w:t>
            </w:r>
          </w:p>
          <w:p w14:paraId="6B8E80BA" w14:textId="1E7380E8" w:rsidR="00FC20C9" w:rsidRDefault="00FC20C9" w:rsidP="00D22A91">
            <w:pPr>
              <w:numPr>
                <w:ilvl w:val="0"/>
                <w:numId w:val="1"/>
              </w:numPr>
              <w:rPr>
                <w:lang w:val="sr-Cyrl-RS"/>
              </w:rPr>
            </w:pPr>
            <w:r w:rsidRPr="00FC20C9">
              <w:rPr>
                <w:lang w:val="sr-Cyrl-RS"/>
              </w:rPr>
              <w:t>Да се утврде односи између тога у којој мери је која врста интелигенције која се јавља у две врсте теста важна за разумевање метафора рангираних према различитим особинама</w:t>
            </w:r>
            <w:r w:rsidR="00204698">
              <w:rPr>
                <w:lang w:val="sr-Latn-RS"/>
              </w:rPr>
              <w:t xml:space="preserve">, </w:t>
            </w:r>
            <w:r w:rsidR="00204698">
              <w:rPr>
                <w:lang w:val="sr-Cyrl-RS"/>
              </w:rPr>
              <w:t>што представља својеврсну комбинацију прва два циља и додаје нову димензију овом истраживању, водећи ка томе да оно буде прво које ће све наведене компоненте узети у обзир.</w:t>
            </w:r>
            <w:r w:rsidR="00D704B5">
              <w:rPr>
                <w:lang w:val="sr-Latn-RS"/>
              </w:rPr>
              <w:t xml:space="preserve"> </w:t>
            </w:r>
            <w:r w:rsidR="00D704B5">
              <w:rPr>
                <w:lang w:val="sr-Cyrl-RS"/>
              </w:rPr>
              <w:t>У оквиру овог циља, требало би да се покаже да ли поједина својства или њихове комбинације утичу на ослањање на неку од две врсте интелигенције у процесу разумевања метафоричких исказа.</w:t>
            </w:r>
          </w:p>
          <w:p w14:paraId="4DAD3B4A" w14:textId="43B224E4" w:rsidR="001471F7" w:rsidRPr="00204698" w:rsidRDefault="001471F7" w:rsidP="00204698">
            <w:pPr>
              <w:rPr>
                <w:lang w:val="sr-Cyrl-RS"/>
              </w:rPr>
            </w:pPr>
            <w:r>
              <w:rPr>
                <w:lang w:val="sr-Cyrl-RS"/>
              </w:rPr>
              <w:tab/>
            </w:r>
            <w:r w:rsidR="00571715">
              <w:rPr>
                <w:lang w:val="sr-Cyrl-RS"/>
              </w:rPr>
              <w:t>Циљеви докторске дисертације постављени су реалистично, и што је најважније, усмерени су ка решавању постојећих питања на пољу истраживања метафоре.</w:t>
            </w:r>
          </w:p>
        </w:tc>
      </w:tr>
      <w:tr w:rsidR="00EA0590" w:rsidRPr="006B77E8" w14:paraId="1A41222E" w14:textId="77777777" w:rsidTr="00D22A91">
        <w:trPr>
          <w:trHeight w:val="227"/>
          <w:jc w:val="center"/>
        </w:trPr>
        <w:tc>
          <w:tcPr>
            <w:tcW w:w="366" w:type="dxa"/>
            <w:shd w:val="clear" w:color="auto" w:fill="F3F3F3"/>
            <w:vAlign w:val="center"/>
          </w:tcPr>
          <w:p w14:paraId="6546E24F" w14:textId="77777777" w:rsidR="00EA0590" w:rsidRPr="006B77E8" w:rsidRDefault="00EA0590" w:rsidP="00D22A91">
            <w:pPr>
              <w:jc w:val="center"/>
              <w:rPr>
                <w:lang w:val="sr-Cyrl-RS"/>
              </w:rPr>
            </w:pPr>
            <w:r w:rsidRPr="006B77E8">
              <w:rPr>
                <w:lang w:val="sr-Cyrl-RS"/>
              </w:rPr>
              <w:lastRenderedPageBreak/>
              <w:t>4.</w:t>
            </w:r>
          </w:p>
        </w:tc>
        <w:tc>
          <w:tcPr>
            <w:tcW w:w="10420" w:type="dxa"/>
            <w:gridSpan w:val="10"/>
            <w:shd w:val="clear" w:color="auto" w:fill="F3F3F3"/>
            <w:vAlign w:val="center"/>
          </w:tcPr>
          <w:p w14:paraId="6B64EF67" w14:textId="77777777" w:rsidR="00EA0590" w:rsidRPr="006B77E8" w:rsidRDefault="00EA0590" w:rsidP="00D22A91">
            <w:pPr>
              <w:rPr>
                <w:lang w:val="sr-Cyrl-RS"/>
              </w:rPr>
            </w:pPr>
            <w:r w:rsidRPr="006B77E8">
              <w:rPr>
                <w:lang w:val="sr-Cyrl-RS"/>
              </w:rPr>
              <w:t xml:space="preserve">Очекивани резултати, научна заснованост и допринос истраживања </w:t>
            </w:r>
            <w:r w:rsidRPr="006B77E8">
              <w:rPr>
                <w:i/>
                <w:color w:val="808080"/>
                <w:sz w:val="18"/>
                <w:szCs w:val="18"/>
                <w:lang w:val="sr-Cyrl-RS"/>
              </w:rPr>
              <w:t>(до 200 речи)</w:t>
            </w:r>
          </w:p>
        </w:tc>
      </w:tr>
      <w:tr w:rsidR="00EA0590" w:rsidRPr="006B77E8" w14:paraId="6BCEE3CC" w14:textId="77777777" w:rsidTr="00D22A91">
        <w:trPr>
          <w:trHeight w:val="567"/>
          <w:jc w:val="center"/>
        </w:trPr>
        <w:tc>
          <w:tcPr>
            <w:tcW w:w="10786" w:type="dxa"/>
            <w:gridSpan w:val="11"/>
          </w:tcPr>
          <w:p w14:paraId="0BE6B1BA" w14:textId="4020F94E" w:rsidR="00347642" w:rsidRPr="004C22CE" w:rsidRDefault="004C22CE" w:rsidP="004C22CE">
            <w:pPr>
              <w:rPr>
                <w:lang w:val="sr-Cyrl-RS"/>
              </w:rPr>
            </w:pPr>
            <w:r>
              <w:rPr>
                <w:lang w:val="sr-Cyrl-RS"/>
              </w:rPr>
              <w:tab/>
              <w:t>Кандидат очекује</w:t>
            </w:r>
            <w:r w:rsidRPr="004C22CE">
              <w:rPr>
                <w:lang w:val="sr-Cyrl-RS"/>
              </w:rPr>
              <w:t xml:space="preserve"> да</w:t>
            </w:r>
            <w:r>
              <w:rPr>
                <w:lang w:val="sr-Cyrl-RS"/>
              </w:rPr>
              <w:t xml:space="preserve"> ће резултати потврдити раније добијене назнаке да</w:t>
            </w:r>
            <w:r w:rsidRPr="004C22CE">
              <w:rPr>
                <w:lang w:val="sr-Cyrl-RS"/>
              </w:rPr>
              <w:t xml:space="preserve"> </w:t>
            </w:r>
            <w:r>
              <w:rPr>
                <w:lang w:val="sr-Cyrl-RS"/>
              </w:rPr>
              <w:t xml:space="preserve">је </w:t>
            </w:r>
            <w:r w:rsidRPr="004C22CE">
              <w:rPr>
                <w:lang w:val="sr-Cyrl-RS"/>
              </w:rPr>
              <w:t xml:space="preserve">кристализована интелигенција </w:t>
            </w:r>
            <w:r>
              <w:rPr>
                <w:lang w:val="sr-Cyrl-RS"/>
              </w:rPr>
              <w:t>(</w:t>
            </w:r>
            <w:r w:rsidRPr="004C22CE">
              <w:rPr>
                <w:lang w:val="sr-Cyrl-RS"/>
              </w:rPr>
              <w:t>неопходна за решавање теста семантичких сличности</w:t>
            </w:r>
            <w:r>
              <w:rPr>
                <w:lang w:val="sr-Cyrl-RS"/>
              </w:rPr>
              <w:t>)</w:t>
            </w:r>
            <w:r w:rsidRPr="004C22CE">
              <w:rPr>
                <w:lang w:val="sr-Cyrl-RS"/>
              </w:rPr>
              <w:t xml:space="preserve"> од веће важности за разумевање </w:t>
            </w:r>
            <w:r>
              <w:rPr>
                <w:lang w:val="sr-Cyrl-RS"/>
              </w:rPr>
              <w:t xml:space="preserve">општег типа </w:t>
            </w:r>
            <w:r w:rsidRPr="004C22CE">
              <w:rPr>
                <w:lang w:val="sr-Cyrl-RS"/>
              </w:rPr>
              <w:t xml:space="preserve">метафора у поређењу са флуидном интелигенцијом која </w:t>
            </w:r>
            <w:r>
              <w:rPr>
                <w:lang w:val="sr-Cyrl-RS"/>
              </w:rPr>
              <w:t>ће се за сврхе овог доктората мерити употребом</w:t>
            </w:r>
            <w:r w:rsidRPr="004C22CE">
              <w:rPr>
                <w:lang w:val="sr-Cyrl-RS"/>
              </w:rPr>
              <w:t xml:space="preserve"> Рејвенових матрица. </w:t>
            </w:r>
            <w:r>
              <w:rPr>
                <w:lang w:val="sr-Cyrl-RS"/>
              </w:rPr>
              <w:t>Ипак то не значи да флуидна интелигенција неће бити важна, већ да</w:t>
            </w:r>
            <w:r w:rsidRPr="004C22CE">
              <w:rPr>
                <w:lang w:val="sr-Cyrl-RS"/>
              </w:rPr>
              <w:t xml:space="preserve"> оба типа интелигенције, и флуидна и кристализована, имају</w:t>
            </w:r>
            <w:r>
              <w:rPr>
                <w:lang w:val="sr-Cyrl-RS"/>
              </w:rPr>
              <w:t xml:space="preserve"> одређени</w:t>
            </w:r>
            <w:r w:rsidRPr="004C22CE">
              <w:rPr>
                <w:lang w:val="sr-Cyrl-RS"/>
              </w:rPr>
              <w:t xml:space="preserve"> утицај на разумевање књижевне и некњижевне метафоре, али у различитој мери</w:t>
            </w:r>
            <w:r>
              <w:rPr>
                <w:lang w:val="sr-Cyrl-RS"/>
              </w:rPr>
              <w:t xml:space="preserve">, Поред овога, очекује се да ће </w:t>
            </w:r>
            <w:r w:rsidRPr="004C22CE">
              <w:rPr>
                <w:lang w:val="sr-Cyrl-RS"/>
              </w:rPr>
              <w:t xml:space="preserve">разумевање књижевних метафора међу испитаницима зависити </w:t>
            </w:r>
            <w:r>
              <w:rPr>
                <w:lang w:val="sr-Cyrl-RS"/>
              </w:rPr>
              <w:t xml:space="preserve">и </w:t>
            </w:r>
            <w:r w:rsidRPr="004C22CE">
              <w:rPr>
                <w:lang w:val="sr-Cyrl-RS"/>
              </w:rPr>
              <w:t>од одабраних особина</w:t>
            </w:r>
            <w:r>
              <w:rPr>
                <w:lang w:val="sr-Cyrl-RS"/>
              </w:rPr>
              <w:t>, а и да ће саме особине пружити јаснији увид у то шта је оно што метафоре чини више или мање разумљивим или више или мање везаним за неку од две врсте интелигенције</w:t>
            </w:r>
            <w:r w:rsidRPr="004C22CE">
              <w:rPr>
                <w:lang w:val="sr-Cyrl-RS"/>
              </w:rPr>
              <w:t xml:space="preserve">. </w:t>
            </w:r>
            <w:r>
              <w:rPr>
                <w:lang w:val="sr-Cyrl-RS"/>
              </w:rPr>
              <w:t>С</w:t>
            </w:r>
            <w:r w:rsidRPr="004C22CE">
              <w:rPr>
                <w:lang w:val="sr-Cyrl-RS"/>
              </w:rPr>
              <w:t xml:space="preserve">матра се </w:t>
            </w:r>
            <w:r>
              <w:rPr>
                <w:lang w:val="sr-Cyrl-RS"/>
              </w:rPr>
              <w:t xml:space="preserve">и </w:t>
            </w:r>
            <w:r w:rsidRPr="004C22CE">
              <w:rPr>
                <w:lang w:val="sr-Cyrl-RS"/>
              </w:rPr>
              <w:t>да ће когнитивно сложеније метафоре, као што су књижевне, бити теже за разумевање</w:t>
            </w:r>
            <w:r>
              <w:rPr>
                <w:lang w:val="sr-Cyrl-RS"/>
              </w:rPr>
              <w:t xml:space="preserve">, тачније, </w:t>
            </w:r>
            <w:r w:rsidRPr="004C22CE">
              <w:rPr>
                <w:lang w:val="sr-Cyrl-RS"/>
              </w:rPr>
              <w:t>очекује се да постоје разлике у врстама интелигенције одговорним за разумевање метафора рангираних према различитим особинама.</w:t>
            </w:r>
          </w:p>
          <w:p w14:paraId="4FC8F795" w14:textId="243E2867" w:rsidR="004C22CE" w:rsidRPr="006B77E8" w:rsidRDefault="004C22CE" w:rsidP="00D22A91">
            <w:pPr>
              <w:rPr>
                <w:lang w:val="sr-Cyrl-RS"/>
              </w:rPr>
            </w:pPr>
            <w:r>
              <w:rPr>
                <w:lang w:val="sr-Cyrl-RS"/>
              </w:rPr>
              <w:tab/>
              <w:t>Имајући у виду чињеницу</w:t>
            </w:r>
            <w:r w:rsidR="00FC20C9" w:rsidRPr="00D22A91">
              <w:rPr>
                <w:lang w:val="sr-Cyrl-RS"/>
              </w:rPr>
              <w:t xml:space="preserve"> да</w:t>
            </w:r>
            <w:r>
              <w:rPr>
                <w:lang w:val="sr-Cyrl-RS"/>
              </w:rPr>
              <w:t xml:space="preserve"> још увек</w:t>
            </w:r>
            <w:r w:rsidR="00FC20C9" w:rsidRPr="00D22A91">
              <w:rPr>
                <w:lang w:val="sr-Cyrl-RS"/>
              </w:rPr>
              <w:t xml:space="preserve"> има доста простора за истраживањ</w:t>
            </w:r>
            <w:r>
              <w:rPr>
                <w:lang w:val="sr-Cyrl-RS"/>
              </w:rPr>
              <w:t>а</w:t>
            </w:r>
            <w:r w:rsidR="00FC20C9" w:rsidRPr="00D22A91">
              <w:rPr>
                <w:lang w:val="sr-Cyrl-RS"/>
              </w:rPr>
              <w:t xml:space="preserve"> у овој области, очекује се допринос како на аналитичком плану, у погледу резултата добијених квалитативном и квантитативном анализом, тако и на методолошком плану, у погледу даљег унапређења методологије за одређивање механизма иза метафоре.</w:t>
            </w:r>
          </w:p>
        </w:tc>
      </w:tr>
      <w:tr w:rsidR="00EA0590" w:rsidRPr="006B77E8" w14:paraId="5812CA66" w14:textId="77777777" w:rsidTr="00D22A91">
        <w:trPr>
          <w:trHeight w:val="227"/>
          <w:jc w:val="center"/>
        </w:trPr>
        <w:tc>
          <w:tcPr>
            <w:tcW w:w="366" w:type="dxa"/>
            <w:shd w:val="clear" w:color="auto" w:fill="F3F3F3"/>
            <w:vAlign w:val="center"/>
          </w:tcPr>
          <w:p w14:paraId="7B05ECB0" w14:textId="77777777" w:rsidR="00EA0590" w:rsidRPr="006B77E8" w:rsidRDefault="00EA0590" w:rsidP="00D22A91">
            <w:pPr>
              <w:jc w:val="center"/>
              <w:rPr>
                <w:lang w:val="sr-Cyrl-RS"/>
              </w:rPr>
            </w:pPr>
            <w:r w:rsidRPr="006B77E8">
              <w:rPr>
                <w:lang w:val="sr-Cyrl-RS"/>
              </w:rPr>
              <w:t>5.</w:t>
            </w:r>
          </w:p>
        </w:tc>
        <w:tc>
          <w:tcPr>
            <w:tcW w:w="10420" w:type="dxa"/>
            <w:gridSpan w:val="10"/>
            <w:shd w:val="clear" w:color="auto" w:fill="F3F3F3"/>
            <w:vAlign w:val="center"/>
          </w:tcPr>
          <w:p w14:paraId="2D560537" w14:textId="77777777" w:rsidR="00EA0590" w:rsidRPr="006B77E8" w:rsidRDefault="00EA0590" w:rsidP="00D22A91">
            <w:pPr>
              <w:rPr>
                <w:lang w:val="sr-Cyrl-RS"/>
              </w:rPr>
            </w:pPr>
            <w:r w:rsidRPr="006B77E8">
              <w:rPr>
                <w:lang w:val="sr-Cyrl-RS"/>
              </w:rPr>
              <w:t xml:space="preserve">Примењене научне методе </w:t>
            </w:r>
            <w:r w:rsidRPr="006B77E8">
              <w:rPr>
                <w:i/>
                <w:color w:val="808080"/>
                <w:sz w:val="18"/>
                <w:szCs w:val="18"/>
                <w:lang w:val="sr-Cyrl-RS"/>
              </w:rPr>
              <w:t>(до 300 речи)</w:t>
            </w:r>
            <w:r w:rsidRPr="006B77E8">
              <w:rPr>
                <w:sz w:val="18"/>
                <w:szCs w:val="18"/>
                <w:lang w:val="sr-Cyrl-RS"/>
              </w:rPr>
              <w:t xml:space="preserve"> </w:t>
            </w:r>
          </w:p>
        </w:tc>
      </w:tr>
      <w:tr w:rsidR="00EA0590" w:rsidRPr="006B77E8" w14:paraId="5D927425" w14:textId="77777777" w:rsidTr="00D22A91">
        <w:trPr>
          <w:trHeight w:val="567"/>
          <w:jc w:val="center"/>
        </w:trPr>
        <w:tc>
          <w:tcPr>
            <w:tcW w:w="10786" w:type="dxa"/>
            <w:gridSpan w:val="11"/>
          </w:tcPr>
          <w:p w14:paraId="63EB8677" w14:textId="0F10B6BD" w:rsidR="00347642" w:rsidRPr="006B77E8" w:rsidRDefault="00347642" w:rsidP="00D22A91">
            <w:pPr>
              <w:rPr>
                <w:lang w:val="sr-Cyrl-RS"/>
              </w:rPr>
            </w:pPr>
            <w:r>
              <w:rPr>
                <w:lang w:val="sr-Cyrl-RS"/>
              </w:rPr>
              <w:tab/>
              <w:t xml:space="preserve">Кандидат најављује употребу </w:t>
            </w:r>
            <w:r w:rsidRPr="00153B37">
              <w:rPr>
                <w:lang w:val="sr-Cyrl-RS"/>
              </w:rPr>
              <w:t xml:space="preserve">три </w:t>
            </w:r>
            <w:r w:rsidR="004C5C5C">
              <w:rPr>
                <w:lang w:val="sr-Cyrl-RS"/>
              </w:rPr>
              <w:t>инструмента</w:t>
            </w:r>
            <w:r w:rsidRPr="00153B37">
              <w:rPr>
                <w:lang w:val="sr-Cyrl-RS"/>
              </w:rPr>
              <w:t>: Рејвенових прогресивних матрица, теста семантичких сличности, као и теста разумевања књижевних и некњижевних метафора</w:t>
            </w:r>
            <w:r w:rsidR="004C5C5C">
              <w:rPr>
                <w:lang w:val="sr-Cyrl-RS"/>
              </w:rPr>
              <w:t>, које ће искористити у неколико експеримента</w:t>
            </w:r>
            <w:r w:rsidRPr="00153B37">
              <w:rPr>
                <w:lang w:val="sr-Cyrl-RS"/>
              </w:rPr>
              <w:t>.</w:t>
            </w:r>
            <w:r w:rsidRPr="00153B37">
              <w:rPr>
                <w:rFonts w:eastAsiaTheme="minorHAnsi"/>
                <w:i/>
                <w:lang w:val="sr-Cyrl-RS"/>
              </w:rPr>
              <w:t xml:space="preserve"> </w:t>
            </w:r>
            <w:r w:rsidRPr="00153B37">
              <w:rPr>
                <w:i/>
                <w:lang w:val="sr-Cyrl-RS"/>
              </w:rPr>
              <w:t>Рејвенове прогресивне матрице</w:t>
            </w:r>
            <w:r w:rsidRPr="00153B37">
              <w:rPr>
                <w:lang w:val="sr-Cyrl-RS"/>
              </w:rPr>
              <w:t xml:space="preserve"> (ен</w:t>
            </w:r>
            <w:r>
              <w:rPr>
                <w:lang w:val="sr-Cyrl-RS"/>
              </w:rPr>
              <w:t>л</w:t>
            </w:r>
            <w:r w:rsidRPr="00153B37">
              <w:rPr>
                <w:lang w:val="sr-Cyrl-RS"/>
              </w:rPr>
              <w:t xml:space="preserve">г. </w:t>
            </w:r>
            <w:r w:rsidRPr="00153B37">
              <w:rPr>
                <w:i/>
                <w:lang w:val="sr-Cyrl-RS"/>
              </w:rPr>
              <w:t>Raven’s</w:t>
            </w:r>
            <w:r w:rsidRPr="00153B37">
              <w:rPr>
                <w:lang w:val="sr-Cyrl-RS"/>
              </w:rPr>
              <w:t xml:space="preserve"> </w:t>
            </w:r>
            <w:r w:rsidRPr="00153B37">
              <w:rPr>
                <w:i/>
                <w:lang w:val="sr-Cyrl-RS"/>
              </w:rPr>
              <w:t>Progressive</w:t>
            </w:r>
            <w:r w:rsidRPr="00153B37">
              <w:rPr>
                <w:lang w:val="sr-Cyrl-RS"/>
              </w:rPr>
              <w:t xml:space="preserve"> </w:t>
            </w:r>
            <w:r w:rsidRPr="00153B37">
              <w:rPr>
                <w:i/>
                <w:lang w:val="sr-Cyrl-RS"/>
              </w:rPr>
              <w:t>Matrices</w:t>
            </w:r>
            <w:r w:rsidRPr="00153B37">
              <w:rPr>
                <w:lang w:val="sr-Cyrl-RS"/>
              </w:rPr>
              <w:t>) сличне су тестовима радне мемо</w:t>
            </w:r>
            <w:r>
              <w:rPr>
                <w:lang w:val="sr-Cyrl-RS"/>
              </w:rPr>
              <w:t>рије</w:t>
            </w:r>
            <w:r w:rsidRPr="00153B37">
              <w:rPr>
                <w:lang w:val="sr-Cyrl-RS"/>
              </w:rPr>
              <w:t xml:space="preserve"> и аналошког расуђивања, сматрају се поузданим средством за мерење флуидне интелигенције, и </w:t>
            </w:r>
            <w:r>
              <w:rPr>
                <w:lang w:val="sr-Cyrl-RS"/>
              </w:rPr>
              <w:t xml:space="preserve">има врло мало </w:t>
            </w:r>
            <w:r w:rsidRPr="00153B37">
              <w:rPr>
                <w:lang w:val="sr-Cyrl-RS"/>
              </w:rPr>
              <w:t xml:space="preserve">истраживања у којима су коришћене у комбинацији са тестом за проверу разумевања метафоре. </w:t>
            </w:r>
            <w:r w:rsidRPr="00153B37">
              <w:rPr>
                <w:i/>
                <w:lang w:val="sr-Cyrl-RS"/>
              </w:rPr>
              <w:t>Тест семантичких сличности</w:t>
            </w:r>
            <w:r w:rsidRPr="00153B37">
              <w:rPr>
                <w:lang w:val="sr-Cyrl-RS"/>
              </w:rPr>
              <w:t xml:space="preserve"> (енг</w:t>
            </w:r>
            <w:r>
              <w:rPr>
                <w:lang w:val="sr-Cyrl-RS"/>
              </w:rPr>
              <w:t>л</w:t>
            </w:r>
            <w:r w:rsidRPr="00153B37">
              <w:rPr>
                <w:lang w:val="sr-Cyrl-RS"/>
              </w:rPr>
              <w:t xml:space="preserve">. </w:t>
            </w:r>
            <w:r w:rsidRPr="00153B37">
              <w:rPr>
                <w:i/>
                <w:lang w:val="sr-Cyrl-RS"/>
              </w:rPr>
              <w:t>Semantic Similarities Test</w:t>
            </w:r>
            <w:r w:rsidRPr="00153B37">
              <w:rPr>
                <w:lang w:val="sr-Cyrl-RS"/>
              </w:rPr>
              <w:t>) адаптиран је тако да мери кристализовану интелигенцију кроз проналажење сличности између</w:t>
            </w:r>
            <w:r w:rsidRPr="009D16CD">
              <w:rPr>
                <w:lang w:val="sr-Cyrl-RS"/>
              </w:rPr>
              <w:t xml:space="preserve"> </w:t>
            </w:r>
            <w:r w:rsidRPr="00153B37">
              <w:rPr>
                <w:lang w:val="sr-Cyrl-RS"/>
              </w:rPr>
              <w:t xml:space="preserve">концепата који су исказани једном речју. </w:t>
            </w:r>
            <w:r w:rsidR="004C5C5C">
              <w:rPr>
                <w:i/>
                <w:lang w:val="sr-Cyrl-RS"/>
              </w:rPr>
              <w:t>Испитивање р</w:t>
            </w:r>
            <w:r w:rsidRPr="00153B37">
              <w:rPr>
                <w:i/>
                <w:lang w:val="sr-Cyrl-RS"/>
              </w:rPr>
              <w:t>азумевањ</w:t>
            </w:r>
            <w:r w:rsidR="004C5C5C">
              <w:rPr>
                <w:i/>
                <w:lang w:val="sr-Cyrl-RS"/>
              </w:rPr>
              <w:t>а</w:t>
            </w:r>
            <w:r w:rsidRPr="00153B37">
              <w:rPr>
                <w:i/>
                <w:lang w:val="sr-Cyrl-RS"/>
              </w:rPr>
              <w:t xml:space="preserve"> метафоре</w:t>
            </w:r>
            <w:r w:rsidRPr="00153B37">
              <w:rPr>
                <w:lang w:val="sr-Cyrl-RS"/>
              </w:rPr>
              <w:t xml:space="preserve"> је последњи тест у </w:t>
            </w:r>
            <w:r>
              <w:rPr>
                <w:lang w:val="sr-Cyrl-RS"/>
              </w:rPr>
              <w:t>сету упитника</w:t>
            </w:r>
            <w:r w:rsidRPr="00153B37">
              <w:rPr>
                <w:lang w:val="sr-Cyrl-RS"/>
              </w:rPr>
              <w:t xml:space="preserve"> </w:t>
            </w:r>
            <w:r>
              <w:rPr>
                <w:lang w:val="sr-Cyrl-RS"/>
              </w:rPr>
              <w:t>у којима ће се од</w:t>
            </w:r>
            <w:r w:rsidRPr="00153B37">
              <w:rPr>
                <w:lang w:val="sr-Cyrl-RS"/>
              </w:rPr>
              <w:t xml:space="preserve"> испитаника тражи</w:t>
            </w:r>
            <w:r>
              <w:rPr>
                <w:lang w:val="sr-Cyrl-RS"/>
              </w:rPr>
              <w:t>ти</w:t>
            </w:r>
            <w:r w:rsidRPr="00153B37">
              <w:rPr>
                <w:lang w:val="sr-Cyrl-RS"/>
              </w:rPr>
              <w:t xml:space="preserve"> да напишу отворене интерпретације номиналних књижевних и некњижевних метафора.</w:t>
            </w:r>
            <w:r>
              <w:rPr>
                <w:lang w:val="sr-Cyrl-RS"/>
              </w:rPr>
              <w:t xml:space="preserve"> Дате метафоре ће се од групе до групе разликовати по одабраним особинама. </w:t>
            </w:r>
            <w:r w:rsidRPr="00153B37">
              <w:rPr>
                <w:lang w:val="sr-Cyrl-RS"/>
              </w:rPr>
              <w:t xml:space="preserve">Испитаници </w:t>
            </w:r>
            <w:r>
              <w:rPr>
                <w:lang w:val="sr-Cyrl-RS"/>
              </w:rPr>
              <w:t>ће бити</w:t>
            </w:r>
            <w:r w:rsidRPr="00153B37">
              <w:rPr>
                <w:lang w:val="sr-Cyrl-RS"/>
              </w:rPr>
              <w:t xml:space="preserve"> припадници популације студената. Корпус</w:t>
            </w:r>
            <w:r>
              <w:rPr>
                <w:lang w:val="sr-Cyrl-RS"/>
              </w:rPr>
              <w:t xml:space="preserve"> метафоричких исказа</w:t>
            </w:r>
            <w:r w:rsidRPr="00153B37">
              <w:rPr>
                <w:lang w:val="sr-Cyrl-RS"/>
              </w:rPr>
              <w:t xml:space="preserve"> састоји </w:t>
            </w:r>
            <w:r>
              <w:rPr>
                <w:lang w:val="sr-Cyrl-RS"/>
              </w:rPr>
              <w:t xml:space="preserve">се </w:t>
            </w:r>
            <w:r w:rsidRPr="00153B37">
              <w:rPr>
                <w:lang w:val="sr-Cyrl-RS"/>
              </w:rPr>
              <w:t>из појединачних реченица које садрже књижевну или некњижевну метафору</w:t>
            </w:r>
            <w:r>
              <w:rPr>
                <w:lang w:val="sr-Cyrl-RS"/>
              </w:rPr>
              <w:t xml:space="preserve"> на основу резултата студије нормирања (Стаменковић, Миленковић и Динчић, 2019)</w:t>
            </w:r>
            <w:r w:rsidRPr="00153B37">
              <w:rPr>
                <w:lang w:val="sr-Cyrl-RS"/>
              </w:rPr>
              <w:t>. Што се тиче књижевних метафора, оне су преузете из песама истакнутих српских песника чије је стваралаштво богато метафором (нпр. „Отаџбина је мајка тужна“).</w:t>
            </w:r>
            <w:r>
              <w:rPr>
                <w:lang w:val="sr-Cyrl-RS"/>
              </w:rPr>
              <w:t xml:space="preserve"> </w:t>
            </w:r>
            <w:r w:rsidRPr="00153B37">
              <w:rPr>
                <w:lang w:val="sr-Cyrl-RS"/>
              </w:rPr>
              <w:t xml:space="preserve">Реченице су модификоване тако да свака има форму </w:t>
            </w:r>
            <w:r w:rsidRPr="00153B37">
              <w:rPr>
                <w:i/>
                <w:lang w:val="sr-Cyrl-RS"/>
              </w:rPr>
              <w:t>А је Б</w:t>
            </w:r>
            <w:r w:rsidRPr="00153B37">
              <w:rPr>
                <w:lang w:val="sr-Cyrl-RS"/>
              </w:rPr>
              <w:t xml:space="preserve">. </w:t>
            </w:r>
            <w:r>
              <w:rPr>
                <w:lang w:val="sr-Cyrl-RS"/>
              </w:rPr>
              <w:t xml:space="preserve">Разумевање метафоре биће проверено упитником отвореног типа, односно, од испитаника ће се тражити да напишу све интерпретације које везују за дату књижевну </w:t>
            </w:r>
            <w:r>
              <w:rPr>
                <w:lang w:val="sr-Cyrl-RS"/>
              </w:rPr>
              <w:lastRenderedPageBreak/>
              <w:t>или некњижевну метафору. Након адекватног кодирања,</w:t>
            </w:r>
            <w:r w:rsidRPr="00153B37">
              <w:rPr>
                <w:lang w:val="sr-Cyrl-RS"/>
              </w:rPr>
              <w:t xml:space="preserve"> </w:t>
            </w:r>
            <w:r>
              <w:rPr>
                <w:lang w:val="sr-Cyrl-RS"/>
              </w:rPr>
              <w:t>д</w:t>
            </w:r>
            <w:r w:rsidRPr="00153B37">
              <w:rPr>
                <w:lang w:val="sr-Cyrl-RS"/>
              </w:rPr>
              <w:t xml:space="preserve">обијени резултати </w:t>
            </w:r>
            <w:r>
              <w:rPr>
                <w:lang w:val="sr-Cyrl-RS"/>
              </w:rPr>
              <w:t>унеће се</w:t>
            </w:r>
            <w:r w:rsidRPr="00153B37">
              <w:rPr>
                <w:lang w:val="sr-Cyrl-RS"/>
              </w:rPr>
              <w:t xml:space="preserve"> у базу података у формату предвиђеном за даље анализе у одговарајућем софтверском пакету</w:t>
            </w:r>
            <w:r w:rsidRPr="00153B37">
              <w:rPr>
                <w:i/>
                <w:lang w:val="sr-Cyrl-RS"/>
              </w:rPr>
              <w:t>.</w:t>
            </w:r>
            <w:r w:rsidRPr="00153B37">
              <w:rPr>
                <w:lang w:val="sr-Cyrl-RS"/>
              </w:rPr>
              <w:t xml:space="preserve"> Најзначајнији статистички тестови биће везани за испитивање корелација, поређење група уз помоћ теста ANOVA, t-тестов</w:t>
            </w:r>
            <w:r w:rsidRPr="00153B37">
              <w:rPr>
                <w:lang w:val="en-GB"/>
              </w:rPr>
              <w:t>a</w:t>
            </w:r>
            <w:r w:rsidRPr="00153B37">
              <w:rPr>
                <w:lang w:val="sr-Cyrl-RS"/>
              </w:rPr>
              <w:t>, као и</w:t>
            </w:r>
            <w:r w:rsidRPr="009D16CD">
              <w:rPr>
                <w:lang w:val="sr-Cyrl-RS"/>
              </w:rPr>
              <w:t xml:space="preserve"> </w:t>
            </w:r>
            <w:r w:rsidRPr="00153B37">
              <w:rPr>
                <w:lang w:val="sr-Cyrl-RS"/>
              </w:rPr>
              <w:t>тестов</w:t>
            </w:r>
            <w:r w:rsidRPr="00153B37">
              <w:rPr>
                <w:lang w:val="en-GB"/>
              </w:rPr>
              <w:t>a</w:t>
            </w:r>
            <w:r w:rsidRPr="009D16CD">
              <w:rPr>
                <w:lang w:val="sr-Cyrl-RS"/>
              </w:rPr>
              <w:t xml:space="preserve"> </w:t>
            </w:r>
            <w:r w:rsidRPr="00153B37">
              <w:rPr>
                <w:lang w:val="sr-Cyrl-RS"/>
              </w:rPr>
              <w:t>вишеструке регресије за проверу тога колико једна варијабла предвиђа другу.</w:t>
            </w:r>
            <w:r w:rsidR="00DB47CA">
              <w:rPr>
                <w:lang w:val="sr-Cyrl-RS"/>
              </w:rPr>
              <w:t xml:space="preserve"> Оваква методологија прати приступе који се последњих година користе у психолингвистичким приступима метафори, али кроз иновације показује и додатни потенцијал у смислу давања конкретнијих одговора на кључна питања.</w:t>
            </w:r>
          </w:p>
        </w:tc>
      </w:tr>
      <w:tr w:rsidR="00EA0590" w:rsidRPr="006B77E8" w14:paraId="3D07A60B" w14:textId="77777777" w:rsidTr="00D22A91">
        <w:trPr>
          <w:trHeight w:val="340"/>
          <w:jc w:val="center"/>
        </w:trPr>
        <w:tc>
          <w:tcPr>
            <w:tcW w:w="2346" w:type="dxa"/>
            <w:gridSpan w:val="3"/>
            <w:shd w:val="clear" w:color="auto" w:fill="F3F3F3"/>
            <w:vAlign w:val="center"/>
          </w:tcPr>
          <w:p w14:paraId="567EA561" w14:textId="77777777" w:rsidR="00EA0590" w:rsidRPr="006B77E8" w:rsidRDefault="00EA0590" w:rsidP="00D22A91">
            <w:pPr>
              <w:rPr>
                <w:sz w:val="18"/>
                <w:szCs w:val="18"/>
                <w:lang w:val="sr-Cyrl-RS"/>
              </w:rPr>
            </w:pPr>
            <w:r w:rsidRPr="006B77E8">
              <w:rPr>
                <w:rFonts w:eastAsia="TimesNewRomanPS-BoldMT"/>
                <w:sz w:val="18"/>
                <w:szCs w:val="18"/>
                <w:lang w:val="sr-Cyrl-RS"/>
              </w:rPr>
              <w:lastRenderedPageBreak/>
              <w:t>Предложена тема се прихвата неизмењена</w:t>
            </w:r>
          </w:p>
        </w:tc>
        <w:tc>
          <w:tcPr>
            <w:tcW w:w="4499" w:type="dxa"/>
            <w:gridSpan w:val="4"/>
            <w:vAlign w:val="center"/>
          </w:tcPr>
          <w:p w14:paraId="539B5054" w14:textId="77777777" w:rsidR="00EA0590" w:rsidRPr="006B77E8" w:rsidRDefault="00EA0590" w:rsidP="00D22A91">
            <w:pPr>
              <w:jc w:val="center"/>
              <w:rPr>
                <w:b/>
                <w:u w:val="single"/>
                <w:lang w:val="sr-Cyrl-RS"/>
              </w:rPr>
            </w:pPr>
            <w:r w:rsidRPr="006B77E8">
              <w:rPr>
                <w:b/>
                <w:u w:val="single"/>
                <w:lang w:val="sr-Cyrl-RS"/>
              </w:rPr>
              <w:t>ДА</w:t>
            </w:r>
          </w:p>
        </w:tc>
        <w:tc>
          <w:tcPr>
            <w:tcW w:w="3941" w:type="dxa"/>
            <w:gridSpan w:val="4"/>
            <w:vAlign w:val="center"/>
          </w:tcPr>
          <w:p w14:paraId="08659B68" w14:textId="77777777" w:rsidR="00EA0590" w:rsidRPr="006B77E8" w:rsidRDefault="00EA0590" w:rsidP="00D22A91">
            <w:pPr>
              <w:jc w:val="center"/>
              <w:rPr>
                <w:b/>
                <w:lang w:val="sr-Cyrl-RS"/>
              </w:rPr>
            </w:pPr>
            <w:r w:rsidRPr="006B77E8">
              <w:rPr>
                <w:b/>
                <w:lang w:val="sr-Cyrl-RS"/>
              </w:rPr>
              <w:t>НЕ</w:t>
            </w:r>
          </w:p>
        </w:tc>
      </w:tr>
      <w:tr w:rsidR="00EA0590" w:rsidRPr="006B77E8" w14:paraId="6B866A32" w14:textId="77777777" w:rsidTr="00D22A91">
        <w:trPr>
          <w:trHeight w:val="340"/>
          <w:jc w:val="center"/>
        </w:trPr>
        <w:tc>
          <w:tcPr>
            <w:tcW w:w="2346" w:type="dxa"/>
            <w:gridSpan w:val="3"/>
            <w:shd w:val="clear" w:color="auto" w:fill="F3F3F3"/>
            <w:vAlign w:val="center"/>
          </w:tcPr>
          <w:p w14:paraId="6979D5DA" w14:textId="77777777" w:rsidR="00EA0590" w:rsidRPr="006B77E8" w:rsidRDefault="00EA0590" w:rsidP="00D22A91">
            <w:pPr>
              <w:rPr>
                <w:sz w:val="18"/>
                <w:szCs w:val="18"/>
                <w:lang w:val="sr-Cyrl-RS"/>
              </w:rPr>
            </w:pPr>
            <w:r w:rsidRPr="006B77E8">
              <w:rPr>
                <w:rFonts w:eastAsia="TimesNewRomanPS-BoldMT"/>
                <w:sz w:val="18"/>
                <w:szCs w:val="18"/>
                <w:lang w:val="sr-Cyrl-RS"/>
              </w:rPr>
              <w:t>Коначан наслов теме докторске дисертације</w:t>
            </w:r>
          </w:p>
        </w:tc>
        <w:tc>
          <w:tcPr>
            <w:tcW w:w="8440" w:type="dxa"/>
            <w:gridSpan w:val="8"/>
            <w:vAlign w:val="center"/>
          </w:tcPr>
          <w:p w14:paraId="7E5F6117" w14:textId="77777777" w:rsidR="00C348AF" w:rsidRPr="006B77E8" w:rsidRDefault="00C348AF" w:rsidP="00C348AF">
            <w:pPr>
              <w:rPr>
                <w:i/>
                <w:iCs/>
                <w:lang w:val="sr-Cyrl-RS"/>
              </w:rPr>
            </w:pPr>
            <w:r w:rsidRPr="006B77E8">
              <w:rPr>
                <w:i/>
                <w:iCs/>
                <w:lang w:val="sr-Cyrl-RS"/>
              </w:rPr>
              <w:t>Однос особина метафоре и њиховог разумевања: психолингвистички приступ</w:t>
            </w:r>
          </w:p>
          <w:p w14:paraId="020DEE95" w14:textId="2C1CA704" w:rsidR="00EA0590" w:rsidRPr="006B77E8" w:rsidRDefault="00C348AF" w:rsidP="00C348AF">
            <w:pPr>
              <w:rPr>
                <w:lang w:val="sr-Cyrl-RS"/>
              </w:rPr>
            </w:pPr>
            <w:r w:rsidRPr="006B77E8">
              <w:rPr>
                <w:lang w:val="sr-Cyrl-RS"/>
              </w:rPr>
              <w:t>(</w:t>
            </w:r>
            <w:r w:rsidRPr="006B77E8">
              <w:rPr>
                <w:i/>
                <w:iCs/>
                <w:lang w:val="sr-Cyrl-RS"/>
              </w:rPr>
              <w:t>The relation between metaphor features and their comprehension: A psycholinguistic approach</w:t>
            </w:r>
            <w:r w:rsidRPr="006B77E8">
              <w:rPr>
                <w:lang w:val="sr-Cyrl-RS"/>
              </w:rPr>
              <w:t>)</w:t>
            </w:r>
          </w:p>
        </w:tc>
      </w:tr>
      <w:tr w:rsidR="00EA0590" w:rsidRPr="006B77E8" w14:paraId="39908FE5" w14:textId="77777777" w:rsidTr="00D22A91">
        <w:trPr>
          <w:trHeight w:val="340"/>
          <w:jc w:val="center"/>
        </w:trPr>
        <w:tc>
          <w:tcPr>
            <w:tcW w:w="10786" w:type="dxa"/>
            <w:gridSpan w:val="11"/>
            <w:shd w:val="clear" w:color="auto" w:fill="D9D9D9"/>
            <w:vAlign w:val="center"/>
          </w:tcPr>
          <w:p w14:paraId="1EA4F67B" w14:textId="77777777" w:rsidR="00EA0590" w:rsidRPr="006B77E8" w:rsidRDefault="00EA0590" w:rsidP="00D22A91">
            <w:pPr>
              <w:jc w:val="center"/>
              <w:rPr>
                <w:lang w:val="sr-Cyrl-RS"/>
              </w:rPr>
            </w:pPr>
            <w:r w:rsidRPr="006B77E8">
              <w:rPr>
                <w:b/>
                <w:lang w:val="sr-Cyrl-RS"/>
              </w:rPr>
              <w:t xml:space="preserve">ЗАКЉУЧАК </w:t>
            </w:r>
            <w:r w:rsidRPr="006B77E8">
              <w:rPr>
                <w:i/>
                <w:color w:val="808080"/>
                <w:lang w:val="sr-Cyrl-RS"/>
              </w:rPr>
              <w:t>(до 100 речи)</w:t>
            </w:r>
          </w:p>
        </w:tc>
      </w:tr>
      <w:tr w:rsidR="00EA0590" w:rsidRPr="006B77E8" w14:paraId="1C848F0F" w14:textId="77777777" w:rsidTr="00D22A91">
        <w:trPr>
          <w:trHeight w:val="340"/>
          <w:jc w:val="center"/>
        </w:trPr>
        <w:tc>
          <w:tcPr>
            <w:tcW w:w="10786" w:type="dxa"/>
            <w:gridSpan w:val="11"/>
            <w:tcBorders>
              <w:bottom w:val="single" w:sz="4" w:space="0" w:color="C0C0C0"/>
            </w:tcBorders>
            <w:vAlign w:val="center"/>
          </w:tcPr>
          <w:p w14:paraId="5A25A857" w14:textId="0822402E" w:rsidR="00DB47CA" w:rsidRPr="00DB47CA" w:rsidRDefault="00DB47CA" w:rsidP="003A06E8">
            <w:pPr>
              <w:rPr>
                <w:lang w:val="sr-Cyrl-RS"/>
              </w:rPr>
            </w:pPr>
            <w:r>
              <w:rPr>
                <w:lang w:val="sr-Latn-RS"/>
              </w:rPr>
              <w:tab/>
            </w:r>
            <w:r>
              <w:rPr>
                <w:lang w:val="sr-Cyrl-RS"/>
              </w:rPr>
              <w:t xml:space="preserve">Предложена тема докторске дисертације кандидата мср Катарине Миленковић под називом </w:t>
            </w:r>
            <w:r w:rsidRPr="006B77E8">
              <w:rPr>
                <w:i/>
                <w:iCs/>
                <w:lang w:val="sr-Cyrl-RS"/>
              </w:rPr>
              <w:t>Однос особина метафоре и њиховог разумевања: психолингвистички приступ</w:t>
            </w:r>
            <w:r>
              <w:rPr>
                <w:i/>
                <w:iCs/>
                <w:lang w:val="sr-Cyrl-RS"/>
              </w:rPr>
              <w:t xml:space="preserve"> </w:t>
            </w:r>
            <w:r>
              <w:rPr>
                <w:lang w:val="sr-Cyrl-RS"/>
              </w:rPr>
              <w:t>представља потенцијално веома релевантну и у доброј мери сложену студију у пољу психолингвистике, усмерену пре свега ка давању одговора на кључна питања у овој дисциплини и засновану на чврстој методологији, која се на више начина ослања на сазнања и из области савремене филологије и из области психологије и психолингвистике.</w:t>
            </w:r>
          </w:p>
          <w:p w14:paraId="18414F1B" w14:textId="1C8853E2" w:rsidR="00EA0590" w:rsidRPr="003A06E8" w:rsidRDefault="00DB47CA" w:rsidP="003A06E8">
            <w:pPr>
              <w:rPr>
                <w:lang w:val="sr-Cyrl-RS"/>
              </w:rPr>
            </w:pPr>
            <w:r>
              <w:rPr>
                <w:lang w:val="sr-Latn-RS"/>
              </w:rPr>
              <w:tab/>
            </w:r>
            <w:r w:rsidR="003A06E8">
              <w:rPr>
                <w:lang w:val="sr-Latn-RS"/>
              </w:rPr>
              <w:t>K</w:t>
            </w:r>
            <w:r w:rsidR="003A06E8" w:rsidRPr="003A06E8">
              <w:rPr>
                <w:lang w:val="sr-Cyrl-RS"/>
              </w:rPr>
              <w:t>омисија има задовољство да предложи Наставно-научном већу Филозофског факултета и Научно-стручном већу за друштвене и хуманистичке науке Универзитета у Нишу да прихвате овај предлог</w:t>
            </w:r>
            <w:r w:rsidR="003A06E8">
              <w:rPr>
                <w:lang w:val="sr-Latn-RS"/>
              </w:rPr>
              <w:t xml:space="preserve"> </w:t>
            </w:r>
            <w:r w:rsidR="003A06E8">
              <w:rPr>
                <w:lang w:val="sr-Cyrl-RS"/>
              </w:rPr>
              <w:t>извештаја</w:t>
            </w:r>
            <w:r w:rsidR="003A06E8" w:rsidRPr="003A06E8">
              <w:rPr>
                <w:lang w:val="sr-Cyrl-RS"/>
              </w:rPr>
              <w:t xml:space="preserve"> и тиме омогуће кандидату мср </w:t>
            </w:r>
            <w:r w:rsidR="003A06E8">
              <w:rPr>
                <w:lang w:val="sr-Cyrl-RS"/>
              </w:rPr>
              <w:t>Катарини Миленковић</w:t>
            </w:r>
            <w:r w:rsidR="003A06E8" w:rsidRPr="003A06E8">
              <w:rPr>
                <w:lang w:val="sr-Cyrl-RS"/>
              </w:rPr>
              <w:t xml:space="preserve"> да започне рад на својој дисертацији</w:t>
            </w:r>
            <w:r w:rsidR="003A06E8">
              <w:rPr>
                <w:lang w:val="sr-Cyrl-RS"/>
              </w:rPr>
              <w:t xml:space="preserve"> под менторством проф. др Душана Стаменковића</w:t>
            </w:r>
            <w:r>
              <w:rPr>
                <w:lang w:val="sr-Cyrl-RS"/>
              </w:rPr>
              <w:t>.</w:t>
            </w:r>
          </w:p>
        </w:tc>
      </w:tr>
      <w:tr w:rsidR="00EA0590" w:rsidRPr="006B77E8" w14:paraId="1D480335" w14:textId="77777777" w:rsidTr="00D22A91">
        <w:trPr>
          <w:trHeight w:val="340"/>
          <w:jc w:val="center"/>
        </w:trPr>
        <w:tc>
          <w:tcPr>
            <w:tcW w:w="10786" w:type="dxa"/>
            <w:gridSpan w:val="11"/>
            <w:shd w:val="clear" w:color="auto" w:fill="D9D9D9"/>
            <w:vAlign w:val="center"/>
          </w:tcPr>
          <w:p w14:paraId="2470FA88" w14:textId="77777777" w:rsidR="00EA0590" w:rsidRPr="006B77E8" w:rsidRDefault="00EA0590" w:rsidP="00D22A91">
            <w:pPr>
              <w:jc w:val="center"/>
              <w:rPr>
                <w:b/>
                <w:lang w:val="sr-Cyrl-RS"/>
              </w:rPr>
            </w:pPr>
            <w:r w:rsidRPr="006B77E8">
              <w:rPr>
                <w:b/>
                <w:lang w:val="sr-Cyrl-RS"/>
              </w:rPr>
              <w:t>ПОДАЦИ О КОМИСИЈИ</w:t>
            </w:r>
          </w:p>
        </w:tc>
      </w:tr>
      <w:tr w:rsidR="00EA0590" w:rsidRPr="006B77E8" w14:paraId="57E9BABC" w14:textId="77777777" w:rsidTr="00D22A91">
        <w:trPr>
          <w:trHeight w:val="340"/>
          <w:jc w:val="center"/>
        </w:trPr>
        <w:tc>
          <w:tcPr>
            <w:tcW w:w="3426" w:type="dxa"/>
            <w:gridSpan w:val="4"/>
            <w:shd w:val="clear" w:color="auto" w:fill="F3F3F3"/>
            <w:vAlign w:val="center"/>
          </w:tcPr>
          <w:p w14:paraId="6EAFCCE3" w14:textId="570BF1BB" w:rsidR="00EA0590" w:rsidRPr="006B77E8" w:rsidRDefault="00EA0590" w:rsidP="00D22A91">
            <w:pPr>
              <w:rPr>
                <w:sz w:val="18"/>
                <w:szCs w:val="18"/>
                <w:lang w:val="sr-Cyrl-RS"/>
              </w:rPr>
            </w:pPr>
            <w:r w:rsidRPr="006B77E8">
              <w:rPr>
                <w:sz w:val="18"/>
                <w:szCs w:val="18"/>
                <w:lang w:val="sr-Cyrl-RS"/>
              </w:rPr>
              <w:t>Број одлуке Н</w:t>
            </w:r>
            <w:r w:rsidR="003A1891" w:rsidRPr="006B77E8">
              <w:rPr>
                <w:sz w:val="18"/>
                <w:szCs w:val="18"/>
                <w:lang w:val="sr-Cyrl-RS"/>
              </w:rPr>
              <w:t>С</w:t>
            </w:r>
            <w:r w:rsidRPr="006B77E8">
              <w:rPr>
                <w:sz w:val="18"/>
                <w:szCs w:val="18"/>
                <w:lang w:val="sr-Cyrl-RS"/>
              </w:rPr>
              <w:t>В о именовању Комисије</w:t>
            </w:r>
          </w:p>
        </w:tc>
        <w:tc>
          <w:tcPr>
            <w:tcW w:w="7360" w:type="dxa"/>
            <w:gridSpan w:val="7"/>
            <w:shd w:val="clear" w:color="auto" w:fill="auto"/>
            <w:vAlign w:val="center"/>
          </w:tcPr>
          <w:p w14:paraId="695408FD" w14:textId="31908183" w:rsidR="00EA0590" w:rsidRPr="006B77E8" w:rsidRDefault="00C808AD" w:rsidP="003A1891">
            <w:pPr>
              <w:rPr>
                <w:b/>
                <w:sz w:val="18"/>
                <w:szCs w:val="18"/>
                <w:lang w:val="sr-Cyrl-RS"/>
              </w:rPr>
            </w:pPr>
            <w:r w:rsidRPr="006B77E8">
              <w:rPr>
                <w:b/>
                <w:sz w:val="18"/>
                <w:szCs w:val="18"/>
                <w:lang w:val="sr-Cyrl-RS"/>
              </w:rPr>
              <w:t>8/18-01-00</w:t>
            </w:r>
            <w:r w:rsidR="00701101" w:rsidRPr="006B77E8">
              <w:rPr>
                <w:b/>
                <w:sz w:val="18"/>
                <w:szCs w:val="18"/>
                <w:lang w:val="sr-Cyrl-RS"/>
              </w:rPr>
              <w:t>8</w:t>
            </w:r>
            <w:r w:rsidRPr="006B77E8">
              <w:rPr>
                <w:b/>
                <w:sz w:val="18"/>
                <w:szCs w:val="18"/>
                <w:lang w:val="sr-Cyrl-RS"/>
              </w:rPr>
              <w:t>/19-0</w:t>
            </w:r>
            <w:r w:rsidR="00701101" w:rsidRPr="006B77E8">
              <w:rPr>
                <w:b/>
                <w:sz w:val="18"/>
                <w:szCs w:val="18"/>
                <w:lang w:val="sr-Cyrl-RS"/>
              </w:rPr>
              <w:t>09</w:t>
            </w:r>
          </w:p>
        </w:tc>
      </w:tr>
      <w:tr w:rsidR="00EA0590" w:rsidRPr="006B77E8" w14:paraId="3ECA3EE7" w14:textId="77777777" w:rsidTr="00D22A91">
        <w:trPr>
          <w:trHeight w:val="340"/>
          <w:jc w:val="center"/>
        </w:trPr>
        <w:tc>
          <w:tcPr>
            <w:tcW w:w="3426" w:type="dxa"/>
            <w:gridSpan w:val="4"/>
            <w:shd w:val="clear" w:color="auto" w:fill="F3F3F3"/>
            <w:vAlign w:val="center"/>
          </w:tcPr>
          <w:p w14:paraId="3CAD9C8F" w14:textId="77777777" w:rsidR="00EA0590" w:rsidRPr="006B77E8" w:rsidRDefault="00EA0590" w:rsidP="00D22A91">
            <w:pPr>
              <w:rPr>
                <w:sz w:val="18"/>
                <w:szCs w:val="18"/>
                <w:lang w:val="sr-Cyrl-RS"/>
              </w:rPr>
            </w:pPr>
            <w:r w:rsidRPr="006B77E8">
              <w:rPr>
                <w:sz w:val="18"/>
                <w:szCs w:val="18"/>
                <w:lang w:val="sr-Cyrl-RS"/>
              </w:rPr>
              <w:t>Датум именовања Комисије</w:t>
            </w:r>
          </w:p>
        </w:tc>
        <w:tc>
          <w:tcPr>
            <w:tcW w:w="7360" w:type="dxa"/>
            <w:gridSpan w:val="7"/>
            <w:shd w:val="clear" w:color="auto" w:fill="auto"/>
            <w:vAlign w:val="center"/>
          </w:tcPr>
          <w:p w14:paraId="6B5BE0C1" w14:textId="001C42B5" w:rsidR="00EA0590" w:rsidRPr="006B77E8" w:rsidRDefault="00701101" w:rsidP="007F37FA">
            <w:pPr>
              <w:rPr>
                <w:b/>
                <w:sz w:val="18"/>
                <w:szCs w:val="18"/>
                <w:lang w:val="sr-Cyrl-RS"/>
              </w:rPr>
            </w:pPr>
            <w:r w:rsidRPr="006B77E8">
              <w:rPr>
                <w:b/>
                <w:sz w:val="18"/>
                <w:szCs w:val="18"/>
                <w:lang w:val="sr-Cyrl-RS"/>
              </w:rPr>
              <w:t>29</w:t>
            </w:r>
            <w:r w:rsidR="007F37FA" w:rsidRPr="006B77E8">
              <w:rPr>
                <w:b/>
                <w:sz w:val="18"/>
                <w:szCs w:val="18"/>
                <w:lang w:val="sr-Cyrl-RS"/>
              </w:rPr>
              <w:t xml:space="preserve">. </w:t>
            </w:r>
            <w:r w:rsidR="005D7894" w:rsidRPr="006B77E8">
              <w:rPr>
                <w:b/>
                <w:sz w:val="18"/>
                <w:szCs w:val="18"/>
                <w:lang w:val="sr-Cyrl-RS"/>
              </w:rPr>
              <w:t>1</w:t>
            </w:r>
            <w:r w:rsidRPr="006B77E8">
              <w:rPr>
                <w:b/>
                <w:sz w:val="18"/>
                <w:szCs w:val="18"/>
                <w:lang w:val="sr-Cyrl-RS"/>
              </w:rPr>
              <w:t>1</w:t>
            </w:r>
            <w:r w:rsidR="007F37FA" w:rsidRPr="006B77E8">
              <w:rPr>
                <w:b/>
                <w:sz w:val="18"/>
                <w:szCs w:val="18"/>
                <w:lang w:val="sr-Cyrl-RS"/>
              </w:rPr>
              <w:t>. 2019. године</w:t>
            </w:r>
          </w:p>
        </w:tc>
      </w:tr>
      <w:tr w:rsidR="00EA0590" w:rsidRPr="006B77E8" w14:paraId="70605C84" w14:textId="77777777" w:rsidTr="00D22A91">
        <w:trPr>
          <w:trHeight w:val="340"/>
          <w:jc w:val="center"/>
        </w:trPr>
        <w:tc>
          <w:tcPr>
            <w:tcW w:w="547" w:type="dxa"/>
            <w:gridSpan w:val="2"/>
            <w:shd w:val="clear" w:color="auto" w:fill="F3F3F3"/>
            <w:vAlign w:val="center"/>
          </w:tcPr>
          <w:p w14:paraId="6FDC083F" w14:textId="77777777" w:rsidR="00EA0590" w:rsidRPr="006B77E8" w:rsidRDefault="00EA0590" w:rsidP="00D22A91">
            <w:pPr>
              <w:rPr>
                <w:b/>
                <w:sz w:val="18"/>
                <w:szCs w:val="18"/>
                <w:lang w:val="sr-Cyrl-RS"/>
              </w:rPr>
            </w:pPr>
            <w:r w:rsidRPr="006B77E8">
              <w:rPr>
                <w:b/>
                <w:sz w:val="18"/>
                <w:szCs w:val="18"/>
                <w:lang w:val="sr-Cyrl-RS"/>
              </w:rPr>
              <w:t>Р. бр.</w:t>
            </w:r>
          </w:p>
        </w:tc>
        <w:tc>
          <w:tcPr>
            <w:tcW w:w="7918" w:type="dxa"/>
            <w:gridSpan w:val="6"/>
            <w:shd w:val="clear" w:color="auto" w:fill="auto"/>
            <w:vAlign w:val="center"/>
          </w:tcPr>
          <w:p w14:paraId="67353B0A" w14:textId="77777777" w:rsidR="00EA0590" w:rsidRPr="006B77E8" w:rsidRDefault="00EA0590" w:rsidP="00D22A91">
            <w:pPr>
              <w:jc w:val="center"/>
              <w:rPr>
                <w:b/>
                <w:sz w:val="18"/>
                <w:szCs w:val="18"/>
                <w:lang w:val="sr-Cyrl-RS"/>
              </w:rPr>
            </w:pPr>
            <w:r w:rsidRPr="006B77E8">
              <w:rPr>
                <w:b/>
                <w:sz w:val="18"/>
                <w:szCs w:val="18"/>
                <w:lang w:val="sr-Cyrl-RS"/>
              </w:rPr>
              <w:t>Име и презиме, звање</w:t>
            </w:r>
          </w:p>
        </w:tc>
        <w:tc>
          <w:tcPr>
            <w:tcW w:w="2321" w:type="dxa"/>
            <w:gridSpan w:val="3"/>
            <w:vAlign w:val="center"/>
          </w:tcPr>
          <w:p w14:paraId="0026ED0B" w14:textId="77777777" w:rsidR="00EA0590" w:rsidRPr="006B77E8" w:rsidRDefault="00EA0590" w:rsidP="00D22A91">
            <w:pPr>
              <w:jc w:val="center"/>
              <w:rPr>
                <w:b/>
                <w:sz w:val="18"/>
                <w:szCs w:val="18"/>
                <w:lang w:val="sr-Cyrl-RS"/>
              </w:rPr>
            </w:pPr>
            <w:r w:rsidRPr="006B77E8">
              <w:rPr>
                <w:b/>
                <w:sz w:val="18"/>
                <w:szCs w:val="18"/>
                <w:lang w:val="sr-Cyrl-RS"/>
              </w:rPr>
              <w:t>Потпис</w:t>
            </w:r>
          </w:p>
        </w:tc>
      </w:tr>
      <w:tr w:rsidR="00EA0590" w:rsidRPr="006B77E8" w14:paraId="6172AE92" w14:textId="77777777" w:rsidTr="00D22A91">
        <w:trPr>
          <w:trHeight w:val="340"/>
          <w:jc w:val="center"/>
        </w:trPr>
        <w:tc>
          <w:tcPr>
            <w:tcW w:w="547" w:type="dxa"/>
            <w:gridSpan w:val="2"/>
            <w:vMerge w:val="restart"/>
            <w:shd w:val="clear" w:color="auto" w:fill="F3F3F3"/>
            <w:vAlign w:val="center"/>
          </w:tcPr>
          <w:p w14:paraId="3BCA2386" w14:textId="77777777" w:rsidR="00EA0590" w:rsidRPr="006B77E8" w:rsidRDefault="00EA0590" w:rsidP="00D22A91">
            <w:pPr>
              <w:jc w:val="center"/>
              <w:rPr>
                <w:sz w:val="18"/>
                <w:szCs w:val="18"/>
                <w:lang w:val="sr-Cyrl-RS"/>
              </w:rPr>
            </w:pPr>
            <w:r w:rsidRPr="006B77E8">
              <w:rPr>
                <w:sz w:val="18"/>
                <w:szCs w:val="18"/>
                <w:lang w:val="sr-Cyrl-RS"/>
              </w:rPr>
              <w:t>1.</w:t>
            </w:r>
          </w:p>
        </w:tc>
        <w:tc>
          <w:tcPr>
            <w:tcW w:w="6298" w:type="dxa"/>
            <w:gridSpan w:val="5"/>
            <w:shd w:val="clear" w:color="auto" w:fill="auto"/>
            <w:vAlign w:val="center"/>
          </w:tcPr>
          <w:p w14:paraId="54C19F60" w14:textId="051D9F79" w:rsidR="00EA0590" w:rsidRPr="006B77E8" w:rsidRDefault="00471A5C" w:rsidP="00D22A91">
            <w:pPr>
              <w:rPr>
                <w:lang w:val="sr-Cyrl-RS"/>
              </w:rPr>
            </w:pPr>
            <w:r w:rsidRPr="006B77E8">
              <w:rPr>
                <w:lang w:val="sr-Cyrl-RS"/>
              </w:rPr>
              <w:t xml:space="preserve">Др </w:t>
            </w:r>
            <w:r w:rsidR="00701101" w:rsidRPr="006B77E8">
              <w:rPr>
                <w:lang w:val="sr-Cyrl-RS"/>
              </w:rPr>
              <w:t>Јелена Опсеница Костић</w:t>
            </w:r>
            <w:r w:rsidR="007F37FA" w:rsidRPr="006B77E8">
              <w:rPr>
                <w:lang w:val="sr-Cyrl-RS"/>
              </w:rPr>
              <w:t xml:space="preserve">, </w:t>
            </w:r>
            <w:r w:rsidR="00701101" w:rsidRPr="006B77E8">
              <w:rPr>
                <w:lang w:val="sr-Cyrl-RS"/>
              </w:rPr>
              <w:t>ванредни</w:t>
            </w:r>
            <w:r w:rsidR="007F37FA" w:rsidRPr="006B77E8">
              <w:rPr>
                <w:lang w:val="sr-Cyrl-RS"/>
              </w:rPr>
              <w:t xml:space="preserve"> професор</w:t>
            </w:r>
          </w:p>
        </w:tc>
        <w:tc>
          <w:tcPr>
            <w:tcW w:w="1620" w:type="dxa"/>
            <w:shd w:val="clear" w:color="auto" w:fill="auto"/>
            <w:vAlign w:val="center"/>
          </w:tcPr>
          <w:p w14:paraId="230BFB98" w14:textId="77777777" w:rsidR="00EA0590" w:rsidRPr="006B77E8" w:rsidRDefault="00EA0590" w:rsidP="00D22A91">
            <w:pPr>
              <w:jc w:val="center"/>
              <w:rPr>
                <w:sz w:val="20"/>
                <w:szCs w:val="20"/>
                <w:lang w:val="sr-Cyrl-RS"/>
              </w:rPr>
            </w:pPr>
            <w:r w:rsidRPr="006B77E8">
              <w:rPr>
                <w:sz w:val="20"/>
                <w:szCs w:val="20"/>
                <w:lang w:val="sr-Cyrl-RS"/>
              </w:rPr>
              <w:t>председник</w:t>
            </w:r>
          </w:p>
        </w:tc>
        <w:tc>
          <w:tcPr>
            <w:tcW w:w="2321" w:type="dxa"/>
            <w:gridSpan w:val="3"/>
            <w:vMerge w:val="restart"/>
            <w:vAlign w:val="center"/>
          </w:tcPr>
          <w:p w14:paraId="1DBFC845" w14:textId="77777777" w:rsidR="00EA0590" w:rsidRPr="006B77E8" w:rsidRDefault="00EA0590" w:rsidP="00D22A91">
            <w:pPr>
              <w:rPr>
                <w:lang w:val="sr-Cyrl-RS"/>
              </w:rPr>
            </w:pPr>
          </w:p>
        </w:tc>
      </w:tr>
      <w:tr w:rsidR="00EA0590" w:rsidRPr="006B77E8" w14:paraId="77F779A5" w14:textId="77777777" w:rsidTr="00701101">
        <w:trPr>
          <w:trHeight w:val="340"/>
          <w:jc w:val="center"/>
        </w:trPr>
        <w:tc>
          <w:tcPr>
            <w:tcW w:w="547" w:type="dxa"/>
            <w:gridSpan w:val="2"/>
            <w:vMerge/>
            <w:shd w:val="clear" w:color="auto" w:fill="F3F3F3"/>
            <w:vAlign w:val="center"/>
          </w:tcPr>
          <w:p w14:paraId="079FF707" w14:textId="77777777" w:rsidR="00EA0590" w:rsidRPr="006B77E8" w:rsidRDefault="00EA0590" w:rsidP="00D22A91">
            <w:pPr>
              <w:jc w:val="center"/>
              <w:rPr>
                <w:sz w:val="18"/>
                <w:szCs w:val="18"/>
                <w:lang w:val="sr-Cyrl-RS"/>
              </w:rPr>
            </w:pPr>
          </w:p>
        </w:tc>
        <w:tc>
          <w:tcPr>
            <w:tcW w:w="3417" w:type="dxa"/>
            <w:gridSpan w:val="3"/>
            <w:shd w:val="clear" w:color="auto" w:fill="auto"/>
            <w:vAlign w:val="center"/>
          </w:tcPr>
          <w:p w14:paraId="1ED46ECF" w14:textId="1D0D15DE" w:rsidR="00EA0590" w:rsidRPr="006B77E8" w:rsidRDefault="00701101" w:rsidP="00C808AD">
            <w:pPr>
              <w:jc w:val="left"/>
              <w:rPr>
                <w:lang w:val="sr-Cyrl-RS"/>
              </w:rPr>
            </w:pPr>
            <w:r w:rsidRPr="006B77E8">
              <w:rPr>
                <w:lang w:val="sr-Cyrl-RS"/>
              </w:rPr>
              <w:t>Психологија</w:t>
            </w:r>
          </w:p>
        </w:tc>
        <w:tc>
          <w:tcPr>
            <w:tcW w:w="4501" w:type="dxa"/>
            <w:gridSpan w:val="3"/>
            <w:shd w:val="clear" w:color="auto" w:fill="auto"/>
            <w:vAlign w:val="center"/>
          </w:tcPr>
          <w:p w14:paraId="56ABB591" w14:textId="361E99D6" w:rsidR="00EA0590" w:rsidRPr="006B77E8" w:rsidRDefault="00C808AD" w:rsidP="00D22A91">
            <w:pPr>
              <w:rPr>
                <w:lang w:val="sr-Cyrl-RS"/>
              </w:rPr>
            </w:pPr>
            <w:r w:rsidRPr="006B77E8">
              <w:rPr>
                <w:lang w:val="sr-Cyrl-RS"/>
              </w:rPr>
              <w:t>Филозофски факултет</w:t>
            </w:r>
            <w:r w:rsidR="00113816" w:rsidRPr="006B77E8">
              <w:rPr>
                <w:lang w:val="sr-Cyrl-RS"/>
              </w:rPr>
              <w:t xml:space="preserve"> Универзитета</w:t>
            </w:r>
            <w:r w:rsidRPr="006B77E8">
              <w:rPr>
                <w:lang w:val="sr-Cyrl-RS"/>
              </w:rPr>
              <w:t xml:space="preserve"> у </w:t>
            </w:r>
            <w:r w:rsidR="00701101" w:rsidRPr="006B77E8">
              <w:rPr>
                <w:lang w:val="sr-Cyrl-RS"/>
              </w:rPr>
              <w:t>Нишу</w:t>
            </w:r>
          </w:p>
        </w:tc>
        <w:tc>
          <w:tcPr>
            <w:tcW w:w="2321" w:type="dxa"/>
            <w:gridSpan w:val="3"/>
            <w:vMerge/>
            <w:vAlign w:val="center"/>
          </w:tcPr>
          <w:p w14:paraId="146168A0" w14:textId="77777777" w:rsidR="00EA0590" w:rsidRPr="006B77E8" w:rsidRDefault="00EA0590" w:rsidP="00D22A91">
            <w:pPr>
              <w:rPr>
                <w:lang w:val="sr-Cyrl-RS"/>
              </w:rPr>
            </w:pPr>
          </w:p>
        </w:tc>
      </w:tr>
      <w:tr w:rsidR="00EA0590" w:rsidRPr="006B77E8" w14:paraId="64557369" w14:textId="77777777" w:rsidTr="00701101">
        <w:trPr>
          <w:trHeight w:val="227"/>
          <w:jc w:val="center"/>
        </w:trPr>
        <w:tc>
          <w:tcPr>
            <w:tcW w:w="547" w:type="dxa"/>
            <w:gridSpan w:val="2"/>
            <w:vMerge/>
            <w:shd w:val="clear" w:color="auto" w:fill="F3F3F3"/>
            <w:vAlign w:val="center"/>
          </w:tcPr>
          <w:p w14:paraId="6C029FA2" w14:textId="77777777" w:rsidR="00EA0590" w:rsidRPr="006B77E8" w:rsidRDefault="00EA0590" w:rsidP="00D22A91">
            <w:pPr>
              <w:jc w:val="center"/>
              <w:rPr>
                <w:sz w:val="18"/>
                <w:szCs w:val="18"/>
                <w:lang w:val="sr-Cyrl-RS"/>
              </w:rPr>
            </w:pPr>
          </w:p>
        </w:tc>
        <w:tc>
          <w:tcPr>
            <w:tcW w:w="3417" w:type="dxa"/>
            <w:gridSpan w:val="3"/>
            <w:shd w:val="clear" w:color="auto" w:fill="auto"/>
            <w:vAlign w:val="center"/>
          </w:tcPr>
          <w:p w14:paraId="3BB2EAE2" w14:textId="77777777" w:rsidR="00EA0590" w:rsidRPr="006B77E8" w:rsidRDefault="00EA0590" w:rsidP="00D22A91">
            <w:pPr>
              <w:jc w:val="center"/>
              <w:rPr>
                <w:color w:val="999999"/>
                <w:lang w:val="sr-Cyrl-RS"/>
              </w:rPr>
            </w:pPr>
            <w:r w:rsidRPr="006B77E8">
              <w:rPr>
                <w:color w:val="999999"/>
                <w:sz w:val="18"/>
                <w:szCs w:val="18"/>
                <w:lang w:val="sr-Cyrl-RS"/>
              </w:rPr>
              <w:t>(Научна област)</w:t>
            </w:r>
          </w:p>
        </w:tc>
        <w:tc>
          <w:tcPr>
            <w:tcW w:w="4501" w:type="dxa"/>
            <w:gridSpan w:val="3"/>
            <w:shd w:val="clear" w:color="auto" w:fill="auto"/>
            <w:vAlign w:val="center"/>
          </w:tcPr>
          <w:p w14:paraId="59E9C2A2" w14:textId="77777777" w:rsidR="00EA0590" w:rsidRPr="006B77E8" w:rsidRDefault="00EA0590" w:rsidP="00D22A91">
            <w:pPr>
              <w:jc w:val="center"/>
              <w:rPr>
                <w:color w:val="999999"/>
                <w:lang w:val="sr-Cyrl-RS"/>
              </w:rPr>
            </w:pPr>
            <w:r w:rsidRPr="006B77E8">
              <w:rPr>
                <w:color w:val="999999"/>
                <w:sz w:val="18"/>
                <w:szCs w:val="18"/>
                <w:lang w:val="sr-Cyrl-RS"/>
              </w:rPr>
              <w:t>(Установа у којој је запослен)</w:t>
            </w:r>
          </w:p>
        </w:tc>
        <w:tc>
          <w:tcPr>
            <w:tcW w:w="2321" w:type="dxa"/>
            <w:gridSpan w:val="3"/>
            <w:vMerge/>
            <w:vAlign w:val="center"/>
          </w:tcPr>
          <w:p w14:paraId="77DC9538" w14:textId="77777777" w:rsidR="00EA0590" w:rsidRPr="006B77E8" w:rsidRDefault="00EA0590" w:rsidP="00D22A91">
            <w:pPr>
              <w:rPr>
                <w:lang w:val="sr-Cyrl-RS"/>
              </w:rPr>
            </w:pPr>
          </w:p>
        </w:tc>
      </w:tr>
      <w:tr w:rsidR="00EA0590" w:rsidRPr="006B77E8" w14:paraId="75B8FF9F" w14:textId="77777777" w:rsidTr="00D22A91">
        <w:trPr>
          <w:trHeight w:val="340"/>
          <w:jc w:val="center"/>
        </w:trPr>
        <w:tc>
          <w:tcPr>
            <w:tcW w:w="547" w:type="dxa"/>
            <w:gridSpan w:val="2"/>
            <w:vMerge w:val="restart"/>
            <w:shd w:val="clear" w:color="auto" w:fill="F3F3F3"/>
            <w:vAlign w:val="center"/>
          </w:tcPr>
          <w:p w14:paraId="3D397CE7" w14:textId="77777777" w:rsidR="00EA0590" w:rsidRPr="006B77E8" w:rsidRDefault="00EA0590" w:rsidP="00D22A91">
            <w:pPr>
              <w:jc w:val="center"/>
              <w:rPr>
                <w:sz w:val="18"/>
                <w:szCs w:val="18"/>
                <w:lang w:val="sr-Cyrl-RS"/>
              </w:rPr>
            </w:pPr>
            <w:r w:rsidRPr="006B77E8">
              <w:rPr>
                <w:sz w:val="18"/>
                <w:szCs w:val="18"/>
                <w:lang w:val="sr-Cyrl-RS"/>
              </w:rPr>
              <w:t>2.</w:t>
            </w:r>
          </w:p>
        </w:tc>
        <w:tc>
          <w:tcPr>
            <w:tcW w:w="6298" w:type="dxa"/>
            <w:gridSpan w:val="5"/>
            <w:shd w:val="clear" w:color="auto" w:fill="auto"/>
            <w:vAlign w:val="center"/>
          </w:tcPr>
          <w:p w14:paraId="61798A20" w14:textId="06269910" w:rsidR="00EA0590" w:rsidRPr="006B77E8" w:rsidRDefault="00471A5C" w:rsidP="00D22A91">
            <w:pPr>
              <w:rPr>
                <w:lang w:val="sr-Cyrl-RS"/>
              </w:rPr>
            </w:pPr>
            <w:r w:rsidRPr="006B77E8">
              <w:rPr>
                <w:lang w:val="sr-Cyrl-RS"/>
              </w:rPr>
              <w:t xml:space="preserve">Др </w:t>
            </w:r>
            <w:r w:rsidR="00701101" w:rsidRPr="006B77E8">
              <w:rPr>
                <w:lang w:val="sr-Cyrl-RS"/>
              </w:rPr>
              <w:t>Душан Стаменковић</w:t>
            </w:r>
            <w:r w:rsidR="00C808AD" w:rsidRPr="006B77E8">
              <w:rPr>
                <w:lang w:val="sr-Cyrl-RS"/>
              </w:rPr>
              <w:t xml:space="preserve">, </w:t>
            </w:r>
            <w:r w:rsidR="00701101" w:rsidRPr="006B77E8">
              <w:rPr>
                <w:lang w:val="sr-Cyrl-RS"/>
              </w:rPr>
              <w:t>ванредни</w:t>
            </w:r>
            <w:r w:rsidR="005D7894" w:rsidRPr="006B77E8">
              <w:rPr>
                <w:lang w:val="sr-Cyrl-RS"/>
              </w:rPr>
              <w:t xml:space="preserve"> професор</w:t>
            </w:r>
          </w:p>
        </w:tc>
        <w:tc>
          <w:tcPr>
            <w:tcW w:w="1620" w:type="dxa"/>
            <w:shd w:val="clear" w:color="auto" w:fill="auto"/>
            <w:vAlign w:val="center"/>
          </w:tcPr>
          <w:p w14:paraId="0EB4D029" w14:textId="77777777" w:rsidR="00EA0590" w:rsidRPr="006B77E8" w:rsidRDefault="00EA0590" w:rsidP="00D22A91">
            <w:pPr>
              <w:jc w:val="center"/>
              <w:rPr>
                <w:sz w:val="20"/>
                <w:szCs w:val="20"/>
                <w:lang w:val="sr-Cyrl-RS"/>
              </w:rPr>
            </w:pPr>
            <w:r w:rsidRPr="006B77E8">
              <w:rPr>
                <w:sz w:val="20"/>
                <w:szCs w:val="20"/>
                <w:lang w:val="sr-Cyrl-RS"/>
              </w:rPr>
              <w:t>ментор, члан</w:t>
            </w:r>
          </w:p>
        </w:tc>
        <w:tc>
          <w:tcPr>
            <w:tcW w:w="2321" w:type="dxa"/>
            <w:gridSpan w:val="3"/>
            <w:vMerge w:val="restart"/>
            <w:vAlign w:val="center"/>
          </w:tcPr>
          <w:p w14:paraId="49A262E6" w14:textId="77777777" w:rsidR="00EA0590" w:rsidRPr="006B77E8" w:rsidRDefault="00EA0590" w:rsidP="00D22A91">
            <w:pPr>
              <w:rPr>
                <w:lang w:val="sr-Cyrl-RS"/>
              </w:rPr>
            </w:pPr>
          </w:p>
        </w:tc>
      </w:tr>
      <w:tr w:rsidR="00113816" w:rsidRPr="006B77E8" w14:paraId="25EC9E40" w14:textId="77777777" w:rsidTr="00701101">
        <w:trPr>
          <w:trHeight w:val="340"/>
          <w:jc w:val="center"/>
        </w:trPr>
        <w:tc>
          <w:tcPr>
            <w:tcW w:w="547" w:type="dxa"/>
            <w:gridSpan w:val="2"/>
            <w:vMerge/>
            <w:shd w:val="clear" w:color="auto" w:fill="F3F3F3"/>
            <w:vAlign w:val="center"/>
          </w:tcPr>
          <w:p w14:paraId="55337072" w14:textId="77777777" w:rsidR="00113816" w:rsidRPr="006B77E8" w:rsidRDefault="00113816" w:rsidP="00113816">
            <w:pPr>
              <w:jc w:val="center"/>
              <w:rPr>
                <w:sz w:val="18"/>
                <w:szCs w:val="18"/>
                <w:lang w:val="sr-Cyrl-RS"/>
              </w:rPr>
            </w:pPr>
          </w:p>
        </w:tc>
        <w:tc>
          <w:tcPr>
            <w:tcW w:w="3417" w:type="dxa"/>
            <w:gridSpan w:val="3"/>
            <w:shd w:val="clear" w:color="auto" w:fill="auto"/>
            <w:vAlign w:val="center"/>
          </w:tcPr>
          <w:p w14:paraId="316D9EA8" w14:textId="007088B5" w:rsidR="00113816" w:rsidRPr="006B77E8" w:rsidRDefault="00113816" w:rsidP="00113816">
            <w:pPr>
              <w:jc w:val="left"/>
              <w:rPr>
                <w:lang w:val="sr-Cyrl-RS"/>
              </w:rPr>
            </w:pPr>
            <w:r w:rsidRPr="006B77E8">
              <w:rPr>
                <w:lang w:val="sr-Cyrl-RS"/>
              </w:rPr>
              <w:t>Англистичка лингвистика</w:t>
            </w:r>
          </w:p>
        </w:tc>
        <w:tc>
          <w:tcPr>
            <w:tcW w:w="4501" w:type="dxa"/>
            <w:gridSpan w:val="3"/>
            <w:shd w:val="clear" w:color="auto" w:fill="auto"/>
            <w:vAlign w:val="center"/>
          </w:tcPr>
          <w:p w14:paraId="556C5352" w14:textId="5163F861" w:rsidR="00113816" w:rsidRPr="006B77E8" w:rsidRDefault="00113816" w:rsidP="00113816">
            <w:pPr>
              <w:rPr>
                <w:lang w:val="sr-Cyrl-RS"/>
              </w:rPr>
            </w:pPr>
            <w:r w:rsidRPr="006B77E8">
              <w:rPr>
                <w:lang w:val="sr-Cyrl-RS"/>
              </w:rPr>
              <w:t>Филозофски факултет Универзитета у Нишу</w:t>
            </w:r>
          </w:p>
        </w:tc>
        <w:tc>
          <w:tcPr>
            <w:tcW w:w="2321" w:type="dxa"/>
            <w:gridSpan w:val="3"/>
            <w:vMerge/>
            <w:vAlign w:val="center"/>
          </w:tcPr>
          <w:p w14:paraId="37C544C9" w14:textId="77777777" w:rsidR="00113816" w:rsidRPr="006B77E8" w:rsidRDefault="00113816" w:rsidP="00113816">
            <w:pPr>
              <w:rPr>
                <w:lang w:val="sr-Cyrl-RS"/>
              </w:rPr>
            </w:pPr>
          </w:p>
        </w:tc>
      </w:tr>
      <w:tr w:rsidR="00113816" w:rsidRPr="006B77E8" w14:paraId="7DC5D207" w14:textId="77777777" w:rsidTr="00701101">
        <w:trPr>
          <w:trHeight w:val="227"/>
          <w:jc w:val="center"/>
        </w:trPr>
        <w:tc>
          <w:tcPr>
            <w:tcW w:w="547" w:type="dxa"/>
            <w:gridSpan w:val="2"/>
            <w:vMerge/>
            <w:shd w:val="clear" w:color="auto" w:fill="F3F3F3"/>
            <w:vAlign w:val="center"/>
          </w:tcPr>
          <w:p w14:paraId="017FBED1" w14:textId="77777777" w:rsidR="00113816" w:rsidRPr="006B77E8" w:rsidRDefault="00113816" w:rsidP="00113816">
            <w:pPr>
              <w:jc w:val="center"/>
              <w:rPr>
                <w:sz w:val="18"/>
                <w:szCs w:val="18"/>
                <w:lang w:val="sr-Cyrl-RS"/>
              </w:rPr>
            </w:pPr>
          </w:p>
        </w:tc>
        <w:tc>
          <w:tcPr>
            <w:tcW w:w="3417" w:type="dxa"/>
            <w:gridSpan w:val="3"/>
            <w:shd w:val="clear" w:color="auto" w:fill="auto"/>
            <w:vAlign w:val="center"/>
          </w:tcPr>
          <w:p w14:paraId="1CC808EE" w14:textId="77777777" w:rsidR="00113816" w:rsidRPr="006B77E8" w:rsidRDefault="00113816" w:rsidP="00113816">
            <w:pPr>
              <w:jc w:val="center"/>
              <w:rPr>
                <w:color w:val="999999"/>
                <w:lang w:val="sr-Cyrl-RS"/>
              </w:rPr>
            </w:pPr>
            <w:r w:rsidRPr="006B77E8">
              <w:rPr>
                <w:color w:val="999999"/>
                <w:sz w:val="18"/>
                <w:szCs w:val="18"/>
                <w:lang w:val="sr-Cyrl-RS"/>
              </w:rPr>
              <w:t>(Научна област)</w:t>
            </w:r>
          </w:p>
        </w:tc>
        <w:tc>
          <w:tcPr>
            <w:tcW w:w="4501" w:type="dxa"/>
            <w:gridSpan w:val="3"/>
            <w:shd w:val="clear" w:color="auto" w:fill="auto"/>
            <w:vAlign w:val="center"/>
          </w:tcPr>
          <w:p w14:paraId="410B645C" w14:textId="77777777" w:rsidR="00113816" w:rsidRPr="006B77E8" w:rsidRDefault="00113816" w:rsidP="00113816">
            <w:pPr>
              <w:jc w:val="center"/>
              <w:rPr>
                <w:color w:val="999999"/>
                <w:lang w:val="sr-Cyrl-RS"/>
              </w:rPr>
            </w:pPr>
            <w:r w:rsidRPr="006B77E8">
              <w:rPr>
                <w:color w:val="999999"/>
                <w:sz w:val="18"/>
                <w:szCs w:val="18"/>
                <w:lang w:val="sr-Cyrl-RS"/>
              </w:rPr>
              <w:t>(Установа у којој је запослен)</w:t>
            </w:r>
          </w:p>
        </w:tc>
        <w:tc>
          <w:tcPr>
            <w:tcW w:w="2321" w:type="dxa"/>
            <w:gridSpan w:val="3"/>
            <w:vMerge/>
            <w:vAlign w:val="center"/>
          </w:tcPr>
          <w:p w14:paraId="6D15F0DA" w14:textId="77777777" w:rsidR="00113816" w:rsidRPr="006B77E8" w:rsidRDefault="00113816" w:rsidP="00113816">
            <w:pPr>
              <w:rPr>
                <w:lang w:val="sr-Cyrl-RS"/>
              </w:rPr>
            </w:pPr>
          </w:p>
        </w:tc>
      </w:tr>
      <w:tr w:rsidR="00113816" w:rsidRPr="006B77E8" w14:paraId="56A00DCF" w14:textId="77777777" w:rsidTr="00D22A91">
        <w:trPr>
          <w:trHeight w:val="340"/>
          <w:jc w:val="center"/>
        </w:trPr>
        <w:tc>
          <w:tcPr>
            <w:tcW w:w="547" w:type="dxa"/>
            <w:gridSpan w:val="2"/>
            <w:vMerge w:val="restart"/>
            <w:shd w:val="clear" w:color="auto" w:fill="F3F3F3"/>
            <w:vAlign w:val="center"/>
          </w:tcPr>
          <w:p w14:paraId="29175A0B" w14:textId="77777777" w:rsidR="00113816" w:rsidRPr="006B77E8" w:rsidRDefault="00113816" w:rsidP="00113816">
            <w:pPr>
              <w:jc w:val="center"/>
              <w:rPr>
                <w:sz w:val="18"/>
                <w:szCs w:val="18"/>
                <w:lang w:val="sr-Cyrl-RS"/>
              </w:rPr>
            </w:pPr>
            <w:r w:rsidRPr="006B77E8">
              <w:rPr>
                <w:sz w:val="18"/>
                <w:szCs w:val="18"/>
                <w:lang w:val="sr-Cyrl-RS"/>
              </w:rPr>
              <w:t>3.</w:t>
            </w:r>
          </w:p>
        </w:tc>
        <w:tc>
          <w:tcPr>
            <w:tcW w:w="6298" w:type="dxa"/>
            <w:gridSpan w:val="5"/>
            <w:shd w:val="clear" w:color="auto" w:fill="auto"/>
            <w:vAlign w:val="center"/>
          </w:tcPr>
          <w:p w14:paraId="7FE62971" w14:textId="554644EA" w:rsidR="00113816" w:rsidRPr="006B77E8" w:rsidRDefault="00113816" w:rsidP="00113816">
            <w:pPr>
              <w:rPr>
                <w:lang w:val="sr-Cyrl-RS"/>
              </w:rPr>
            </w:pPr>
            <w:r w:rsidRPr="006B77E8">
              <w:rPr>
                <w:lang w:val="sr-Cyrl-RS"/>
              </w:rPr>
              <w:t>Др Михаило Антовић, редовни професор</w:t>
            </w:r>
          </w:p>
        </w:tc>
        <w:tc>
          <w:tcPr>
            <w:tcW w:w="1620" w:type="dxa"/>
            <w:shd w:val="clear" w:color="auto" w:fill="auto"/>
            <w:vAlign w:val="center"/>
          </w:tcPr>
          <w:p w14:paraId="3BD0BEE6" w14:textId="77777777" w:rsidR="00113816" w:rsidRPr="006B77E8" w:rsidRDefault="00113816" w:rsidP="00113816">
            <w:pPr>
              <w:jc w:val="center"/>
              <w:rPr>
                <w:sz w:val="20"/>
                <w:szCs w:val="20"/>
                <w:lang w:val="sr-Cyrl-RS"/>
              </w:rPr>
            </w:pPr>
            <w:r w:rsidRPr="006B77E8">
              <w:rPr>
                <w:sz w:val="20"/>
                <w:szCs w:val="20"/>
                <w:lang w:val="sr-Cyrl-RS"/>
              </w:rPr>
              <w:t>члан</w:t>
            </w:r>
          </w:p>
        </w:tc>
        <w:tc>
          <w:tcPr>
            <w:tcW w:w="2321" w:type="dxa"/>
            <w:gridSpan w:val="3"/>
            <w:vMerge w:val="restart"/>
            <w:vAlign w:val="center"/>
          </w:tcPr>
          <w:p w14:paraId="5238584B" w14:textId="77777777" w:rsidR="00113816" w:rsidRPr="006B77E8" w:rsidRDefault="00113816" w:rsidP="00113816">
            <w:pPr>
              <w:rPr>
                <w:lang w:val="sr-Cyrl-RS"/>
              </w:rPr>
            </w:pPr>
          </w:p>
        </w:tc>
      </w:tr>
      <w:tr w:rsidR="00113816" w:rsidRPr="006B77E8" w14:paraId="22C7A2F7" w14:textId="77777777" w:rsidTr="00701101">
        <w:trPr>
          <w:trHeight w:val="340"/>
          <w:jc w:val="center"/>
        </w:trPr>
        <w:tc>
          <w:tcPr>
            <w:tcW w:w="547" w:type="dxa"/>
            <w:gridSpan w:val="2"/>
            <w:vMerge/>
            <w:shd w:val="clear" w:color="auto" w:fill="F3F3F3"/>
            <w:vAlign w:val="center"/>
          </w:tcPr>
          <w:p w14:paraId="553EB2DD" w14:textId="77777777" w:rsidR="00113816" w:rsidRPr="006B77E8" w:rsidRDefault="00113816" w:rsidP="00113816">
            <w:pPr>
              <w:jc w:val="center"/>
              <w:rPr>
                <w:sz w:val="18"/>
                <w:szCs w:val="18"/>
                <w:lang w:val="sr-Cyrl-RS"/>
              </w:rPr>
            </w:pPr>
          </w:p>
        </w:tc>
        <w:tc>
          <w:tcPr>
            <w:tcW w:w="3417" w:type="dxa"/>
            <w:gridSpan w:val="3"/>
            <w:shd w:val="clear" w:color="auto" w:fill="auto"/>
            <w:vAlign w:val="center"/>
          </w:tcPr>
          <w:p w14:paraId="61609B01" w14:textId="4B5405ED" w:rsidR="00113816" w:rsidRPr="006B77E8" w:rsidRDefault="00113816" w:rsidP="00113816">
            <w:pPr>
              <w:jc w:val="left"/>
              <w:rPr>
                <w:lang w:val="sr-Cyrl-RS"/>
              </w:rPr>
            </w:pPr>
            <w:r w:rsidRPr="006B77E8">
              <w:rPr>
                <w:lang w:val="sr-Cyrl-RS"/>
              </w:rPr>
              <w:t>Англистичка лингвистика</w:t>
            </w:r>
          </w:p>
        </w:tc>
        <w:tc>
          <w:tcPr>
            <w:tcW w:w="4501" w:type="dxa"/>
            <w:gridSpan w:val="3"/>
            <w:shd w:val="clear" w:color="auto" w:fill="auto"/>
            <w:vAlign w:val="center"/>
          </w:tcPr>
          <w:p w14:paraId="52276395" w14:textId="772F4D32" w:rsidR="00113816" w:rsidRPr="006B77E8" w:rsidRDefault="00113816" w:rsidP="00113816">
            <w:pPr>
              <w:rPr>
                <w:lang w:val="sr-Cyrl-RS"/>
              </w:rPr>
            </w:pPr>
            <w:r w:rsidRPr="006B77E8">
              <w:rPr>
                <w:lang w:val="sr-Cyrl-RS"/>
              </w:rPr>
              <w:t>Филозофски факултет Универзитета у Нишу</w:t>
            </w:r>
          </w:p>
        </w:tc>
        <w:tc>
          <w:tcPr>
            <w:tcW w:w="2321" w:type="dxa"/>
            <w:gridSpan w:val="3"/>
            <w:vMerge/>
            <w:vAlign w:val="center"/>
          </w:tcPr>
          <w:p w14:paraId="4C242C63" w14:textId="77777777" w:rsidR="00113816" w:rsidRPr="006B77E8" w:rsidRDefault="00113816" w:rsidP="00113816">
            <w:pPr>
              <w:rPr>
                <w:lang w:val="sr-Cyrl-RS"/>
              </w:rPr>
            </w:pPr>
          </w:p>
        </w:tc>
      </w:tr>
      <w:tr w:rsidR="00113816" w:rsidRPr="006B77E8" w14:paraId="6748337F" w14:textId="77777777" w:rsidTr="00701101">
        <w:trPr>
          <w:trHeight w:val="227"/>
          <w:jc w:val="center"/>
        </w:trPr>
        <w:tc>
          <w:tcPr>
            <w:tcW w:w="547" w:type="dxa"/>
            <w:gridSpan w:val="2"/>
            <w:vMerge/>
            <w:shd w:val="clear" w:color="auto" w:fill="F3F3F3"/>
            <w:vAlign w:val="center"/>
          </w:tcPr>
          <w:p w14:paraId="5FC39EC4" w14:textId="77777777" w:rsidR="00113816" w:rsidRPr="006B77E8" w:rsidRDefault="00113816" w:rsidP="00113816">
            <w:pPr>
              <w:jc w:val="center"/>
              <w:rPr>
                <w:sz w:val="18"/>
                <w:szCs w:val="18"/>
                <w:lang w:val="sr-Cyrl-RS"/>
              </w:rPr>
            </w:pPr>
          </w:p>
        </w:tc>
        <w:tc>
          <w:tcPr>
            <w:tcW w:w="3417" w:type="dxa"/>
            <w:gridSpan w:val="3"/>
            <w:shd w:val="clear" w:color="auto" w:fill="auto"/>
            <w:vAlign w:val="center"/>
          </w:tcPr>
          <w:p w14:paraId="6EAEB884" w14:textId="77777777" w:rsidR="00113816" w:rsidRPr="006B77E8" w:rsidRDefault="00113816" w:rsidP="00113816">
            <w:pPr>
              <w:jc w:val="center"/>
              <w:rPr>
                <w:color w:val="999999"/>
                <w:lang w:val="sr-Cyrl-RS"/>
              </w:rPr>
            </w:pPr>
            <w:r w:rsidRPr="006B77E8">
              <w:rPr>
                <w:color w:val="999999"/>
                <w:sz w:val="18"/>
                <w:szCs w:val="18"/>
                <w:lang w:val="sr-Cyrl-RS"/>
              </w:rPr>
              <w:t>(Научна област)</w:t>
            </w:r>
          </w:p>
        </w:tc>
        <w:tc>
          <w:tcPr>
            <w:tcW w:w="4501" w:type="dxa"/>
            <w:gridSpan w:val="3"/>
            <w:shd w:val="clear" w:color="auto" w:fill="auto"/>
            <w:vAlign w:val="center"/>
          </w:tcPr>
          <w:p w14:paraId="3FE98EB3" w14:textId="77777777" w:rsidR="00113816" w:rsidRPr="006B77E8" w:rsidRDefault="00113816" w:rsidP="00113816">
            <w:pPr>
              <w:jc w:val="center"/>
              <w:rPr>
                <w:color w:val="999999"/>
                <w:lang w:val="sr-Cyrl-RS"/>
              </w:rPr>
            </w:pPr>
            <w:r w:rsidRPr="006B77E8">
              <w:rPr>
                <w:color w:val="999999"/>
                <w:sz w:val="18"/>
                <w:szCs w:val="18"/>
                <w:lang w:val="sr-Cyrl-RS"/>
              </w:rPr>
              <w:t>(Установа у којој је запослен)</w:t>
            </w:r>
          </w:p>
        </w:tc>
        <w:tc>
          <w:tcPr>
            <w:tcW w:w="2321" w:type="dxa"/>
            <w:gridSpan w:val="3"/>
            <w:vMerge/>
            <w:vAlign w:val="center"/>
          </w:tcPr>
          <w:p w14:paraId="7E142E7B" w14:textId="77777777" w:rsidR="00113816" w:rsidRPr="006B77E8" w:rsidRDefault="00113816" w:rsidP="00113816">
            <w:pPr>
              <w:rPr>
                <w:lang w:val="sr-Cyrl-RS"/>
              </w:rPr>
            </w:pPr>
          </w:p>
        </w:tc>
      </w:tr>
      <w:tr w:rsidR="00BF1A02" w:rsidRPr="006B77E8" w14:paraId="1C1CADB3" w14:textId="77777777" w:rsidTr="00701101">
        <w:trPr>
          <w:trHeight w:val="421"/>
          <w:jc w:val="center"/>
        </w:trPr>
        <w:tc>
          <w:tcPr>
            <w:tcW w:w="547" w:type="dxa"/>
            <w:gridSpan w:val="2"/>
            <w:vMerge w:val="restart"/>
            <w:shd w:val="clear" w:color="auto" w:fill="F3F3F3"/>
            <w:vAlign w:val="center"/>
          </w:tcPr>
          <w:p w14:paraId="262A6156" w14:textId="55E6ADEA" w:rsidR="00BF1A02" w:rsidRPr="006B77E8" w:rsidRDefault="00BF1A02" w:rsidP="00113816">
            <w:pPr>
              <w:jc w:val="center"/>
              <w:rPr>
                <w:sz w:val="18"/>
                <w:szCs w:val="18"/>
                <w:lang w:val="sr-Cyrl-RS"/>
              </w:rPr>
            </w:pPr>
            <w:r w:rsidRPr="006B77E8">
              <w:rPr>
                <w:sz w:val="18"/>
                <w:szCs w:val="18"/>
                <w:lang w:val="sr-Cyrl-RS"/>
              </w:rPr>
              <w:t>4.</w:t>
            </w:r>
          </w:p>
        </w:tc>
        <w:tc>
          <w:tcPr>
            <w:tcW w:w="6252" w:type="dxa"/>
            <w:gridSpan w:val="4"/>
            <w:shd w:val="clear" w:color="auto" w:fill="auto"/>
            <w:vAlign w:val="center"/>
          </w:tcPr>
          <w:p w14:paraId="42E4F702" w14:textId="0AB83FB9" w:rsidR="00BF1A02" w:rsidRPr="006B77E8" w:rsidRDefault="00BF1A02" w:rsidP="00113816">
            <w:pPr>
              <w:jc w:val="left"/>
              <w:rPr>
                <w:color w:val="999999"/>
                <w:sz w:val="18"/>
                <w:szCs w:val="18"/>
                <w:lang w:val="sr-Cyrl-RS"/>
              </w:rPr>
            </w:pPr>
            <w:r w:rsidRPr="006B77E8">
              <w:rPr>
                <w:lang w:val="sr-Cyrl-RS"/>
              </w:rPr>
              <w:t>Др Страхиња Степанов, доцент</w:t>
            </w:r>
          </w:p>
        </w:tc>
        <w:tc>
          <w:tcPr>
            <w:tcW w:w="1666" w:type="dxa"/>
            <w:gridSpan w:val="2"/>
            <w:shd w:val="clear" w:color="auto" w:fill="auto"/>
            <w:vAlign w:val="center"/>
          </w:tcPr>
          <w:p w14:paraId="64E4EE9A" w14:textId="70765A35" w:rsidR="00BF1A02" w:rsidRPr="006B77E8" w:rsidRDefault="00BF1A02" w:rsidP="00113816">
            <w:pPr>
              <w:jc w:val="center"/>
              <w:rPr>
                <w:color w:val="999999"/>
                <w:sz w:val="18"/>
                <w:szCs w:val="18"/>
                <w:lang w:val="sr-Cyrl-RS"/>
              </w:rPr>
            </w:pPr>
            <w:r w:rsidRPr="006B77E8">
              <w:rPr>
                <w:sz w:val="20"/>
                <w:szCs w:val="20"/>
                <w:lang w:val="sr-Cyrl-RS"/>
              </w:rPr>
              <w:t>члан</w:t>
            </w:r>
          </w:p>
        </w:tc>
        <w:tc>
          <w:tcPr>
            <w:tcW w:w="2321" w:type="dxa"/>
            <w:gridSpan w:val="3"/>
            <w:vMerge w:val="restart"/>
            <w:vAlign w:val="center"/>
          </w:tcPr>
          <w:p w14:paraId="3DA272D8" w14:textId="77777777" w:rsidR="00BF1A02" w:rsidRPr="006B77E8" w:rsidRDefault="00BF1A02" w:rsidP="00113816">
            <w:pPr>
              <w:rPr>
                <w:lang w:val="sr-Cyrl-RS"/>
              </w:rPr>
            </w:pPr>
          </w:p>
        </w:tc>
      </w:tr>
      <w:tr w:rsidR="00BF1A02" w:rsidRPr="006B77E8" w14:paraId="4879F5EC" w14:textId="77777777" w:rsidTr="00701101">
        <w:trPr>
          <w:trHeight w:val="227"/>
          <w:jc w:val="center"/>
        </w:trPr>
        <w:tc>
          <w:tcPr>
            <w:tcW w:w="547" w:type="dxa"/>
            <w:gridSpan w:val="2"/>
            <w:vMerge/>
            <w:shd w:val="clear" w:color="auto" w:fill="F3F3F3"/>
            <w:vAlign w:val="center"/>
          </w:tcPr>
          <w:p w14:paraId="13406EB7" w14:textId="77777777" w:rsidR="00BF1A02" w:rsidRPr="006B77E8" w:rsidRDefault="00BF1A02" w:rsidP="00113816">
            <w:pPr>
              <w:jc w:val="center"/>
              <w:rPr>
                <w:sz w:val="18"/>
                <w:szCs w:val="18"/>
                <w:lang w:val="sr-Cyrl-RS"/>
              </w:rPr>
            </w:pPr>
          </w:p>
        </w:tc>
        <w:tc>
          <w:tcPr>
            <w:tcW w:w="3417" w:type="dxa"/>
            <w:gridSpan w:val="3"/>
            <w:shd w:val="clear" w:color="auto" w:fill="auto"/>
            <w:vAlign w:val="center"/>
          </w:tcPr>
          <w:p w14:paraId="29E42F49" w14:textId="12221EB0" w:rsidR="00BF1A02" w:rsidRPr="006B77E8" w:rsidRDefault="00BF1A02" w:rsidP="00113816">
            <w:pPr>
              <w:rPr>
                <w:color w:val="999999"/>
                <w:sz w:val="18"/>
                <w:szCs w:val="18"/>
                <w:lang w:val="sr-Cyrl-RS"/>
              </w:rPr>
            </w:pPr>
            <w:r w:rsidRPr="006B77E8">
              <w:rPr>
                <w:lang w:val="sr-Cyrl-RS"/>
              </w:rPr>
              <w:t>Српски језик и лингвистика</w:t>
            </w:r>
          </w:p>
        </w:tc>
        <w:tc>
          <w:tcPr>
            <w:tcW w:w="4501" w:type="dxa"/>
            <w:gridSpan w:val="3"/>
            <w:shd w:val="clear" w:color="auto" w:fill="auto"/>
            <w:vAlign w:val="center"/>
          </w:tcPr>
          <w:p w14:paraId="31F6BDF7" w14:textId="1B405FC6" w:rsidR="00BF1A02" w:rsidRPr="006B77E8" w:rsidRDefault="00BF1A02" w:rsidP="00113816">
            <w:pPr>
              <w:rPr>
                <w:color w:val="999999"/>
                <w:sz w:val="18"/>
                <w:szCs w:val="18"/>
                <w:lang w:val="sr-Cyrl-RS"/>
              </w:rPr>
            </w:pPr>
            <w:r w:rsidRPr="006B77E8">
              <w:rPr>
                <w:lang w:val="sr-Cyrl-RS"/>
              </w:rPr>
              <w:t>Филозофски факултет Универзитета у Новом Саду</w:t>
            </w:r>
          </w:p>
        </w:tc>
        <w:tc>
          <w:tcPr>
            <w:tcW w:w="2321" w:type="dxa"/>
            <w:gridSpan w:val="3"/>
            <w:vMerge/>
            <w:vAlign w:val="center"/>
          </w:tcPr>
          <w:p w14:paraId="61E27A48" w14:textId="77777777" w:rsidR="00BF1A02" w:rsidRPr="006B77E8" w:rsidRDefault="00BF1A02" w:rsidP="00113816">
            <w:pPr>
              <w:rPr>
                <w:lang w:val="sr-Cyrl-RS"/>
              </w:rPr>
            </w:pPr>
          </w:p>
        </w:tc>
      </w:tr>
      <w:tr w:rsidR="00BF1A02" w:rsidRPr="006B77E8" w14:paraId="30D7B32C" w14:textId="77777777" w:rsidTr="00701101">
        <w:trPr>
          <w:trHeight w:val="227"/>
          <w:jc w:val="center"/>
        </w:trPr>
        <w:tc>
          <w:tcPr>
            <w:tcW w:w="547" w:type="dxa"/>
            <w:gridSpan w:val="2"/>
            <w:vMerge/>
            <w:shd w:val="clear" w:color="auto" w:fill="F3F3F3"/>
            <w:vAlign w:val="center"/>
          </w:tcPr>
          <w:p w14:paraId="09DC2971" w14:textId="77777777" w:rsidR="00BF1A02" w:rsidRPr="006B77E8" w:rsidRDefault="00BF1A02" w:rsidP="00113816">
            <w:pPr>
              <w:jc w:val="center"/>
              <w:rPr>
                <w:sz w:val="18"/>
                <w:szCs w:val="18"/>
                <w:lang w:val="sr-Cyrl-RS"/>
              </w:rPr>
            </w:pPr>
          </w:p>
        </w:tc>
        <w:tc>
          <w:tcPr>
            <w:tcW w:w="3417" w:type="dxa"/>
            <w:gridSpan w:val="3"/>
            <w:shd w:val="clear" w:color="auto" w:fill="auto"/>
            <w:vAlign w:val="center"/>
          </w:tcPr>
          <w:p w14:paraId="5E2E8B32" w14:textId="381E7D60" w:rsidR="00BF1A02" w:rsidRPr="006B77E8" w:rsidRDefault="00BF1A02" w:rsidP="00113816">
            <w:pPr>
              <w:jc w:val="center"/>
              <w:rPr>
                <w:color w:val="999999"/>
                <w:sz w:val="18"/>
                <w:szCs w:val="18"/>
                <w:lang w:val="sr-Cyrl-RS"/>
              </w:rPr>
            </w:pPr>
            <w:r w:rsidRPr="006B77E8">
              <w:rPr>
                <w:color w:val="999999"/>
                <w:sz w:val="18"/>
                <w:szCs w:val="18"/>
                <w:lang w:val="sr-Cyrl-RS"/>
              </w:rPr>
              <w:t>(Научна област)</w:t>
            </w:r>
          </w:p>
        </w:tc>
        <w:tc>
          <w:tcPr>
            <w:tcW w:w="4501" w:type="dxa"/>
            <w:gridSpan w:val="3"/>
            <w:shd w:val="clear" w:color="auto" w:fill="auto"/>
            <w:vAlign w:val="center"/>
          </w:tcPr>
          <w:p w14:paraId="3A9EF161" w14:textId="04BC97C8" w:rsidR="00BF1A02" w:rsidRPr="006B77E8" w:rsidRDefault="00BF1A02" w:rsidP="00113816">
            <w:pPr>
              <w:jc w:val="center"/>
              <w:rPr>
                <w:color w:val="999999"/>
                <w:sz w:val="18"/>
                <w:szCs w:val="18"/>
                <w:lang w:val="sr-Cyrl-RS"/>
              </w:rPr>
            </w:pPr>
            <w:r w:rsidRPr="006B77E8">
              <w:rPr>
                <w:color w:val="999999"/>
                <w:sz w:val="18"/>
                <w:szCs w:val="18"/>
                <w:lang w:val="sr-Cyrl-RS"/>
              </w:rPr>
              <w:t>(Установа у којој је запослен)</w:t>
            </w:r>
          </w:p>
        </w:tc>
        <w:tc>
          <w:tcPr>
            <w:tcW w:w="2321" w:type="dxa"/>
            <w:gridSpan w:val="3"/>
            <w:vMerge/>
            <w:vAlign w:val="center"/>
          </w:tcPr>
          <w:p w14:paraId="7E9EE582" w14:textId="77777777" w:rsidR="00BF1A02" w:rsidRPr="006B77E8" w:rsidRDefault="00BF1A02" w:rsidP="00113816">
            <w:pPr>
              <w:rPr>
                <w:lang w:val="sr-Cyrl-RS"/>
              </w:rPr>
            </w:pPr>
          </w:p>
        </w:tc>
      </w:tr>
      <w:tr w:rsidR="00113816" w:rsidRPr="006B77E8" w14:paraId="00C95893" w14:textId="77777777" w:rsidTr="00D22A91">
        <w:trPr>
          <w:trHeight w:val="340"/>
          <w:jc w:val="center"/>
        </w:trPr>
        <w:tc>
          <w:tcPr>
            <w:tcW w:w="10786" w:type="dxa"/>
            <w:gridSpan w:val="11"/>
          </w:tcPr>
          <w:p w14:paraId="47D1AD3C" w14:textId="1BCA9782" w:rsidR="00113816" w:rsidRPr="001471F7" w:rsidRDefault="00113816" w:rsidP="00113816">
            <w:pPr>
              <w:rPr>
                <w:lang w:val="sr-Cyrl-RS"/>
              </w:rPr>
            </w:pPr>
            <w:r w:rsidRPr="006B77E8">
              <w:rPr>
                <w:lang w:val="sr-Cyrl-RS"/>
              </w:rPr>
              <w:t xml:space="preserve"> </w:t>
            </w:r>
          </w:p>
          <w:p w14:paraId="45410104" w14:textId="0D2F43C3" w:rsidR="00D41E43" w:rsidRDefault="00113816" w:rsidP="00D41E43">
            <w:pPr>
              <w:tabs>
                <w:tab w:val="left" w:pos="6660"/>
              </w:tabs>
              <w:autoSpaceDE w:val="0"/>
              <w:autoSpaceDN w:val="0"/>
              <w:adjustRightInd w:val="0"/>
              <w:spacing w:line="360" w:lineRule="auto"/>
              <w:ind w:right="3595"/>
              <w:rPr>
                <w:rFonts w:eastAsia="TimesNewRomanPS-BoldMT"/>
                <w:b/>
                <w:lang w:val="sr-Cyrl-RS"/>
              </w:rPr>
            </w:pPr>
            <w:r w:rsidRPr="00D41E43">
              <w:rPr>
                <w:rFonts w:eastAsia="TimesNewRomanPS-BoldMT"/>
                <w:b/>
                <w:lang w:val="sr-Cyrl-RS"/>
              </w:rPr>
              <w:t>Датум и место:</w:t>
            </w:r>
          </w:p>
          <w:p w14:paraId="09B70882" w14:textId="61D05712" w:rsidR="003A06E8" w:rsidRDefault="003A06E8" w:rsidP="00D41E43">
            <w:pPr>
              <w:tabs>
                <w:tab w:val="left" w:pos="6660"/>
              </w:tabs>
              <w:autoSpaceDE w:val="0"/>
              <w:autoSpaceDN w:val="0"/>
              <w:adjustRightInd w:val="0"/>
              <w:spacing w:line="360" w:lineRule="auto"/>
              <w:ind w:right="3595"/>
              <w:rPr>
                <w:b/>
                <w:lang w:val="sr-Cyrl-RS"/>
              </w:rPr>
            </w:pPr>
            <w:r w:rsidRPr="00D41E43">
              <w:rPr>
                <w:b/>
                <w:lang w:val="sr-Cyrl-RS"/>
              </w:rPr>
              <w:t>1</w:t>
            </w:r>
            <w:r w:rsidR="00DB47CA">
              <w:rPr>
                <w:b/>
                <w:lang w:val="sr-Cyrl-RS"/>
              </w:rPr>
              <w:t>6</w:t>
            </w:r>
            <w:r w:rsidRPr="00D41E43">
              <w:rPr>
                <w:b/>
                <w:lang w:val="sr-Cyrl-RS"/>
              </w:rPr>
              <w:t>. 12. 2019. године</w:t>
            </w:r>
            <w:r>
              <w:rPr>
                <w:b/>
                <w:lang w:val="sr-Cyrl-RS"/>
              </w:rPr>
              <w:t xml:space="preserve">, </w:t>
            </w:r>
          </w:p>
          <w:p w14:paraId="6A0FF225" w14:textId="1560D7F9" w:rsidR="00113816" w:rsidRPr="003A06E8" w:rsidRDefault="00BF1A02" w:rsidP="003A06E8">
            <w:pPr>
              <w:tabs>
                <w:tab w:val="left" w:pos="6660"/>
              </w:tabs>
              <w:autoSpaceDE w:val="0"/>
              <w:autoSpaceDN w:val="0"/>
              <w:adjustRightInd w:val="0"/>
              <w:spacing w:line="360" w:lineRule="auto"/>
              <w:ind w:right="3595"/>
              <w:rPr>
                <w:rFonts w:eastAsia="TimesNewRomanPS-BoldMT"/>
                <w:b/>
                <w:lang w:val="sr-Cyrl-RS"/>
              </w:rPr>
            </w:pPr>
            <w:r w:rsidRPr="00D41E43">
              <w:rPr>
                <w:b/>
                <w:lang w:val="sr-Cyrl-RS"/>
              </w:rPr>
              <w:t>Ниш и Нов</w:t>
            </w:r>
            <w:r w:rsidR="00D41E43">
              <w:rPr>
                <w:b/>
                <w:lang w:val="sr-Cyrl-RS"/>
              </w:rPr>
              <w:t>и</w:t>
            </w:r>
            <w:r w:rsidRPr="00D41E43">
              <w:rPr>
                <w:b/>
                <w:lang w:val="sr-Cyrl-RS"/>
              </w:rPr>
              <w:t xml:space="preserve"> Сад</w:t>
            </w:r>
          </w:p>
        </w:tc>
      </w:tr>
    </w:tbl>
    <w:p w14:paraId="1AA0BC1E" w14:textId="77777777" w:rsidR="00C351F5" w:rsidRPr="006B77E8" w:rsidRDefault="00C351F5" w:rsidP="001471F7">
      <w:pPr>
        <w:rPr>
          <w:lang w:val="sr-Cyrl-RS"/>
        </w:rPr>
      </w:pPr>
    </w:p>
    <w:sectPr w:rsidR="00C351F5" w:rsidRPr="006B77E8" w:rsidSect="00EA0590">
      <w:pgSz w:w="12240" w:h="15840"/>
      <w:pgMar w:top="1077" w:right="1077" w:bottom="1077" w:left="107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NewRomanPS-BoldMT">
    <w:altName w:val="MS Mincho"/>
    <w:panose1 w:val="00000000000000000000"/>
    <w:charset w:val="80"/>
    <w:family w:val="auto"/>
    <w:notTrueType/>
    <w:pitch w:val="default"/>
    <w:sig w:usb0="00000000" w:usb1="08070000" w:usb2="00000010" w:usb3="00000000" w:csb0="0002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2F626E"/>
    <w:multiLevelType w:val="hybridMultilevel"/>
    <w:tmpl w:val="B6B60404"/>
    <w:lvl w:ilvl="0" w:tplc="C6EAAF56">
      <w:start w:val="1"/>
      <w:numFmt w:val="decimal"/>
      <w:lvlText w:val="%1."/>
      <w:lvlJc w:val="left"/>
      <w:pPr>
        <w:ind w:left="720" w:hanging="360"/>
      </w:pPr>
      <w:rPr>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590"/>
    <w:rsid w:val="00006F76"/>
    <w:rsid w:val="0001579C"/>
    <w:rsid w:val="0002441D"/>
    <w:rsid w:val="00027524"/>
    <w:rsid w:val="00037810"/>
    <w:rsid w:val="00040988"/>
    <w:rsid w:val="00041E41"/>
    <w:rsid w:val="000524B8"/>
    <w:rsid w:val="00054D22"/>
    <w:rsid w:val="00056C23"/>
    <w:rsid w:val="00057BEC"/>
    <w:rsid w:val="0006668B"/>
    <w:rsid w:val="00072561"/>
    <w:rsid w:val="0007450C"/>
    <w:rsid w:val="00077388"/>
    <w:rsid w:val="00093EDE"/>
    <w:rsid w:val="000A0D69"/>
    <w:rsid w:val="000A282B"/>
    <w:rsid w:val="000A37DD"/>
    <w:rsid w:val="000B1CEC"/>
    <w:rsid w:val="000B5DCD"/>
    <w:rsid w:val="000C3037"/>
    <w:rsid w:val="000C7175"/>
    <w:rsid w:val="000E1D84"/>
    <w:rsid w:val="00102660"/>
    <w:rsid w:val="00104D3C"/>
    <w:rsid w:val="00113816"/>
    <w:rsid w:val="00117D97"/>
    <w:rsid w:val="001471F7"/>
    <w:rsid w:val="00155237"/>
    <w:rsid w:val="0016069F"/>
    <w:rsid w:val="00163C81"/>
    <w:rsid w:val="00166597"/>
    <w:rsid w:val="001702AE"/>
    <w:rsid w:val="00173E8E"/>
    <w:rsid w:val="00175595"/>
    <w:rsid w:val="00180F1E"/>
    <w:rsid w:val="00181E00"/>
    <w:rsid w:val="00184EBC"/>
    <w:rsid w:val="00193CD5"/>
    <w:rsid w:val="001E4F8A"/>
    <w:rsid w:val="001E736F"/>
    <w:rsid w:val="00204698"/>
    <w:rsid w:val="00205631"/>
    <w:rsid w:val="002162C9"/>
    <w:rsid w:val="00236724"/>
    <w:rsid w:val="00240606"/>
    <w:rsid w:val="00247101"/>
    <w:rsid w:val="00251629"/>
    <w:rsid w:val="0025460E"/>
    <w:rsid w:val="00262769"/>
    <w:rsid w:val="002675B3"/>
    <w:rsid w:val="00267F77"/>
    <w:rsid w:val="0027589E"/>
    <w:rsid w:val="002804BD"/>
    <w:rsid w:val="00286E2B"/>
    <w:rsid w:val="002911B6"/>
    <w:rsid w:val="00293EC0"/>
    <w:rsid w:val="00294B84"/>
    <w:rsid w:val="002A1145"/>
    <w:rsid w:val="002A2EF8"/>
    <w:rsid w:val="002B0550"/>
    <w:rsid w:val="002B5E87"/>
    <w:rsid w:val="002C016F"/>
    <w:rsid w:val="002C0C2F"/>
    <w:rsid w:val="002C3691"/>
    <w:rsid w:val="002D170C"/>
    <w:rsid w:val="002E33B2"/>
    <w:rsid w:val="00307A8A"/>
    <w:rsid w:val="0031017D"/>
    <w:rsid w:val="003114FA"/>
    <w:rsid w:val="003244ED"/>
    <w:rsid w:val="00327C6A"/>
    <w:rsid w:val="00335854"/>
    <w:rsid w:val="00337B29"/>
    <w:rsid w:val="00341CFA"/>
    <w:rsid w:val="00344242"/>
    <w:rsid w:val="0034641F"/>
    <w:rsid w:val="00347642"/>
    <w:rsid w:val="00355315"/>
    <w:rsid w:val="00360FD8"/>
    <w:rsid w:val="00367E03"/>
    <w:rsid w:val="003741EB"/>
    <w:rsid w:val="00376DA4"/>
    <w:rsid w:val="00384C15"/>
    <w:rsid w:val="003A06E8"/>
    <w:rsid w:val="003A103B"/>
    <w:rsid w:val="003A1891"/>
    <w:rsid w:val="003A30CE"/>
    <w:rsid w:val="003B56A2"/>
    <w:rsid w:val="003C2F76"/>
    <w:rsid w:val="003C49C3"/>
    <w:rsid w:val="003D23C5"/>
    <w:rsid w:val="003D28BB"/>
    <w:rsid w:val="003E22D0"/>
    <w:rsid w:val="003E4B81"/>
    <w:rsid w:val="003F7913"/>
    <w:rsid w:val="004038AE"/>
    <w:rsid w:val="00405FB4"/>
    <w:rsid w:val="0042344C"/>
    <w:rsid w:val="0043650F"/>
    <w:rsid w:val="004372C2"/>
    <w:rsid w:val="004379C2"/>
    <w:rsid w:val="004415B2"/>
    <w:rsid w:val="00454603"/>
    <w:rsid w:val="004672F7"/>
    <w:rsid w:val="00471A5C"/>
    <w:rsid w:val="00472635"/>
    <w:rsid w:val="00481A02"/>
    <w:rsid w:val="004946B4"/>
    <w:rsid w:val="0049543A"/>
    <w:rsid w:val="00497D23"/>
    <w:rsid w:val="004A7553"/>
    <w:rsid w:val="004B0226"/>
    <w:rsid w:val="004B0A64"/>
    <w:rsid w:val="004C22CE"/>
    <w:rsid w:val="004C5C5C"/>
    <w:rsid w:val="004C6849"/>
    <w:rsid w:val="004C79D3"/>
    <w:rsid w:val="004D4DDB"/>
    <w:rsid w:val="004E11C2"/>
    <w:rsid w:val="00510ABD"/>
    <w:rsid w:val="00517A85"/>
    <w:rsid w:val="005205F0"/>
    <w:rsid w:val="005316BB"/>
    <w:rsid w:val="005327FA"/>
    <w:rsid w:val="00535CDD"/>
    <w:rsid w:val="005369BC"/>
    <w:rsid w:val="0055613D"/>
    <w:rsid w:val="005570F7"/>
    <w:rsid w:val="00557180"/>
    <w:rsid w:val="00561771"/>
    <w:rsid w:val="00561E3B"/>
    <w:rsid w:val="00562A24"/>
    <w:rsid w:val="005651AB"/>
    <w:rsid w:val="0056546E"/>
    <w:rsid w:val="00571715"/>
    <w:rsid w:val="00577B22"/>
    <w:rsid w:val="00582DEF"/>
    <w:rsid w:val="0058551A"/>
    <w:rsid w:val="0058745C"/>
    <w:rsid w:val="0059595B"/>
    <w:rsid w:val="00597CCE"/>
    <w:rsid w:val="005B676F"/>
    <w:rsid w:val="005C2657"/>
    <w:rsid w:val="005C6735"/>
    <w:rsid w:val="005D0208"/>
    <w:rsid w:val="005D60F7"/>
    <w:rsid w:val="005D7894"/>
    <w:rsid w:val="005D7D0D"/>
    <w:rsid w:val="005E0159"/>
    <w:rsid w:val="005E3B51"/>
    <w:rsid w:val="005E789C"/>
    <w:rsid w:val="005F577B"/>
    <w:rsid w:val="00601677"/>
    <w:rsid w:val="006030FA"/>
    <w:rsid w:val="00623AE9"/>
    <w:rsid w:val="00633CF9"/>
    <w:rsid w:val="00635370"/>
    <w:rsid w:val="00641A05"/>
    <w:rsid w:val="00647C9F"/>
    <w:rsid w:val="00664B81"/>
    <w:rsid w:val="00670190"/>
    <w:rsid w:val="006748FA"/>
    <w:rsid w:val="0067568B"/>
    <w:rsid w:val="00695CC6"/>
    <w:rsid w:val="00695E01"/>
    <w:rsid w:val="006A2630"/>
    <w:rsid w:val="006A4C9B"/>
    <w:rsid w:val="006B2789"/>
    <w:rsid w:val="006B297E"/>
    <w:rsid w:val="006B77E8"/>
    <w:rsid w:val="006D618A"/>
    <w:rsid w:val="006E1F66"/>
    <w:rsid w:val="006F00F4"/>
    <w:rsid w:val="006F493F"/>
    <w:rsid w:val="00701101"/>
    <w:rsid w:val="00716E41"/>
    <w:rsid w:val="007240FD"/>
    <w:rsid w:val="007269DF"/>
    <w:rsid w:val="007345B1"/>
    <w:rsid w:val="007557C4"/>
    <w:rsid w:val="007610E7"/>
    <w:rsid w:val="0076345F"/>
    <w:rsid w:val="00771059"/>
    <w:rsid w:val="00772E4C"/>
    <w:rsid w:val="00776150"/>
    <w:rsid w:val="00782EC3"/>
    <w:rsid w:val="00783D4E"/>
    <w:rsid w:val="007B2CC9"/>
    <w:rsid w:val="007B4DF7"/>
    <w:rsid w:val="007C6F2F"/>
    <w:rsid w:val="007D0402"/>
    <w:rsid w:val="007D08FF"/>
    <w:rsid w:val="007D72D2"/>
    <w:rsid w:val="007E0869"/>
    <w:rsid w:val="007E14DF"/>
    <w:rsid w:val="007E1D41"/>
    <w:rsid w:val="007E6ACF"/>
    <w:rsid w:val="007F3240"/>
    <w:rsid w:val="007F37FA"/>
    <w:rsid w:val="007F4AFD"/>
    <w:rsid w:val="00801D7C"/>
    <w:rsid w:val="0080352A"/>
    <w:rsid w:val="00807747"/>
    <w:rsid w:val="00821AB0"/>
    <w:rsid w:val="00822ADF"/>
    <w:rsid w:val="00827382"/>
    <w:rsid w:val="00837D78"/>
    <w:rsid w:val="00844B76"/>
    <w:rsid w:val="00862F4B"/>
    <w:rsid w:val="00871142"/>
    <w:rsid w:val="008722EB"/>
    <w:rsid w:val="00872A56"/>
    <w:rsid w:val="0088120A"/>
    <w:rsid w:val="00885194"/>
    <w:rsid w:val="008B1BBC"/>
    <w:rsid w:val="008B20E5"/>
    <w:rsid w:val="008B615D"/>
    <w:rsid w:val="008B774D"/>
    <w:rsid w:val="008B7C9C"/>
    <w:rsid w:val="008C3F77"/>
    <w:rsid w:val="008D05A3"/>
    <w:rsid w:val="008D70B1"/>
    <w:rsid w:val="008E7900"/>
    <w:rsid w:val="00900D14"/>
    <w:rsid w:val="00901B5E"/>
    <w:rsid w:val="00911CA9"/>
    <w:rsid w:val="00913D4F"/>
    <w:rsid w:val="00916EE0"/>
    <w:rsid w:val="009224D3"/>
    <w:rsid w:val="009321BA"/>
    <w:rsid w:val="00935040"/>
    <w:rsid w:val="009355F0"/>
    <w:rsid w:val="00942F74"/>
    <w:rsid w:val="00957B37"/>
    <w:rsid w:val="00961D74"/>
    <w:rsid w:val="00970B9F"/>
    <w:rsid w:val="00983D94"/>
    <w:rsid w:val="009858D4"/>
    <w:rsid w:val="009974A1"/>
    <w:rsid w:val="009A0F32"/>
    <w:rsid w:val="009B2014"/>
    <w:rsid w:val="009B35F7"/>
    <w:rsid w:val="009B7386"/>
    <w:rsid w:val="009C43A6"/>
    <w:rsid w:val="009C6E39"/>
    <w:rsid w:val="009E1B95"/>
    <w:rsid w:val="009F2ABE"/>
    <w:rsid w:val="00A1415F"/>
    <w:rsid w:val="00A17B63"/>
    <w:rsid w:val="00A25CB5"/>
    <w:rsid w:val="00A30574"/>
    <w:rsid w:val="00A41424"/>
    <w:rsid w:val="00A4289E"/>
    <w:rsid w:val="00A502F5"/>
    <w:rsid w:val="00A650FF"/>
    <w:rsid w:val="00A8050D"/>
    <w:rsid w:val="00A86992"/>
    <w:rsid w:val="00AA07F1"/>
    <w:rsid w:val="00AA23AE"/>
    <w:rsid w:val="00AA2459"/>
    <w:rsid w:val="00AA4C76"/>
    <w:rsid w:val="00AB090E"/>
    <w:rsid w:val="00AB1F60"/>
    <w:rsid w:val="00AC1F98"/>
    <w:rsid w:val="00AD4B60"/>
    <w:rsid w:val="00AD4EBE"/>
    <w:rsid w:val="00AE5776"/>
    <w:rsid w:val="00AF32A5"/>
    <w:rsid w:val="00AF6E5F"/>
    <w:rsid w:val="00B069C9"/>
    <w:rsid w:val="00B06BD8"/>
    <w:rsid w:val="00B11F40"/>
    <w:rsid w:val="00B2084D"/>
    <w:rsid w:val="00B352A9"/>
    <w:rsid w:val="00B36020"/>
    <w:rsid w:val="00B361C1"/>
    <w:rsid w:val="00B60404"/>
    <w:rsid w:val="00B758A4"/>
    <w:rsid w:val="00B77A83"/>
    <w:rsid w:val="00B80AC1"/>
    <w:rsid w:val="00B84698"/>
    <w:rsid w:val="00B86B10"/>
    <w:rsid w:val="00BA040E"/>
    <w:rsid w:val="00BA070D"/>
    <w:rsid w:val="00BB2012"/>
    <w:rsid w:val="00BB2C15"/>
    <w:rsid w:val="00BB3A77"/>
    <w:rsid w:val="00BE3635"/>
    <w:rsid w:val="00BF1831"/>
    <w:rsid w:val="00BF1A02"/>
    <w:rsid w:val="00C26173"/>
    <w:rsid w:val="00C348AF"/>
    <w:rsid w:val="00C351F5"/>
    <w:rsid w:val="00C52758"/>
    <w:rsid w:val="00C5301B"/>
    <w:rsid w:val="00C626D8"/>
    <w:rsid w:val="00C6648E"/>
    <w:rsid w:val="00C7614E"/>
    <w:rsid w:val="00C806F2"/>
    <w:rsid w:val="00C808AD"/>
    <w:rsid w:val="00C93557"/>
    <w:rsid w:val="00C97047"/>
    <w:rsid w:val="00CA073B"/>
    <w:rsid w:val="00CA39C7"/>
    <w:rsid w:val="00CC17F9"/>
    <w:rsid w:val="00CC6A21"/>
    <w:rsid w:val="00CE124E"/>
    <w:rsid w:val="00CE5CB7"/>
    <w:rsid w:val="00CF7052"/>
    <w:rsid w:val="00D01860"/>
    <w:rsid w:val="00D22A91"/>
    <w:rsid w:val="00D262DE"/>
    <w:rsid w:val="00D30F5A"/>
    <w:rsid w:val="00D41C6D"/>
    <w:rsid w:val="00D41E43"/>
    <w:rsid w:val="00D43631"/>
    <w:rsid w:val="00D45F89"/>
    <w:rsid w:val="00D60EED"/>
    <w:rsid w:val="00D65741"/>
    <w:rsid w:val="00D704B5"/>
    <w:rsid w:val="00D713A5"/>
    <w:rsid w:val="00D80EB1"/>
    <w:rsid w:val="00D83697"/>
    <w:rsid w:val="00D8451A"/>
    <w:rsid w:val="00DA6FC4"/>
    <w:rsid w:val="00DB40AA"/>
    <w:rsid w:val="00DB47CA"/>
    <w:rsid w:val="00DB5BF4"/>
    <w:rsid w:val="00DC3893"/>
    <w:rsid w:val="00DC4456"/>
    <w:rsid w:val="00DC5837"/>
    <w:rsid w:val="00DC67A7"/>
    <w:rsid w:val="00DE4333"/>
    <w:rsid w:val="00DE4B5A"/>
    <w:rsid w:val="00DE6412"/>
    <w:rsid w:val="00DF6929"/>
    <w:rsid w:val="00E066FD"/>
    <w:rsid w:val="00E27D77"/>
    <w:rsid w:val="00E30825"/>
    <w:rsid w:val="00E31630"/>
    <w:rsid w:val="00E32308"/>
    <w:rsid w:val="00E3252D"/>
    <w:rsid w:val="00E52383"/>
    <w:rsid w:val="00E76FE8"/>
    <w:rsid w:val="00E76FF7"/>
    <w:rsid w:val="00E82DF9"/>
    <w:rsid w:val="00E843E1"/>
    <w:rsid w:val="00E94BC3"/>
    <w:rsid w:val="00E97321"/>
    <w:rsid w:val="00EA0590"/>
    <w:rsid w:val="00EA1B16"/>
    <w:rsid w:val="00EA4422"/>
    <w:rsid w:val="00EA6BFF"/>
    <w:rsid w:val="00EA7C97"/>
    <w:rsid w:val="00EC0EAE"/>
    <w:rsid w:val="00ED4565"/>
    <w:rsid w:val="00ED4966"/>
    <w:rsid w:val="00EE2189"/>
    <w:rsid w:val="00EE6C29"/>
    <w:rsid w:val="00EF4B28"/>
    <w:rsid w:val="00EF630C"/>
    <w:rsid w:val="00F00BE7"/>
    <w:rsid w:val="00F07683"/>
    <w:rsid w:val="00F1448F"/>
    <w:rsid w:val="00F1733C"/>
    <w:rsid w:val="00F20A8B"/>
    <w:rsid w:val="00F416D6"/>
    <w:rsid w:val="00F417EE"/>
    <w:rsid w:val="00F451B6"/>
    <w:rsid w:val="00F566DA"/>
    <w:rsid w:val="00F66828"/>
    <w:rsid w:val="00F82264"/>
    <w:rsid w:val="00F93B76"/>
    <w:rsid w:val="00FA29A3"/>
    <w:rsid w:val="00FA5188"/>
    <w:rsid w:val="00FA5EE6"/>
    <w:rsid w:val="00FB35AD"/>
    <w:rsid w:val="00FC20C9"/>
    <w:rsid w:val="00FE4B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DA166"/>
  <w15:chartTrackingRefBased/>
  <w15:docId w15:val="{824CE55E-C4EE-40FA-8ACA-C244EC680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48AF"/>
    <w:pPr>
      <w:spacing w:after="0" w:line="240" w:lineRule="auto"/>
      <w:jc w:val="both"/>
    </w:pPr>
    <w:rPr>
      <w:rFonts w:ascii="Times New Roman" w:eastAsia="Times New Roman" w:hAnsi="Times New Roman" w:cs="Times New Roman"/>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4101</Words>
  <Characters>23379</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Andjelic</dc:creator>
  <cp:keywords/>
  <dc:description/>
  <cp:lastModifiedBy>Korisnik</cp:lastModifiedBy>
  <cp:revision>2</cp:revision>
  <dcterms:created xsi:type="dcterms:W3CDTF">2019-12-20T07:34:00Z</dcterms:created>
  <dcterms:modified xsi:type="dcterms:W3CDTF">2019-12-20T07:34:00Z</dcterms:modified>
</cp:coreProperties>
</file>